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Globalización</w:t>
      </w:r>
      <w:r>
        <w:rPr>
          <w:rFonts w:ascii="Cambria" w:hAnsi="Cambria" w:cs="Cambria" w:eastAsia="Cambria"/>
          <w:sz w:val="22"/>
        </w:rPr>
        <w:t>: internacionalización creciente de flujos comerciales y financieros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Interdependencia de economías y políticas económicas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Puntos: magnitudes, globalización y concentración, áreas de integración, política comercial de la </w:t>
      </w:r>
      <w:r>
        <w:rPr>
          <w:rFonts w:ascii="Cambria" w:hAnsi="Cambria" w:cs="Cambria" w:eastAsia="Cambria"/>
          <w:b/>
          <w:sz w:val="22"/>
        </w:rPr>
        <w:t>UE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librecambio</w:t>
      </w:r>
      <w:r>
        <w:rPr>
          <w:rFonts w:ascii="Cambria" w:hAnsi="Cambria" w:cs="Cambria" w:eastAsia="Cambria"/>
          <w:sz w:val="22"/>
        </w:rPr>
        <w:t xml:space="preserve"> frente a </w:t>
      </w:r>
      <w:r>
        <w:rPr>
          <w:rFonts w:ascii="Cambria" w:hAnsi="Cambria" w:cs="Cambria" w:eastAsia="Cambria"/>
          <w:b/>
          <w:sz w:val="22"/>
        </w:rPr>
        <w:t>proteccionismo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EL COMERCIO INTERNACIONAL: MARCO GENERAL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Principales magnitudes: evolución de los flujos comerciales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Posguerra hasta la crisis del petróleo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Bretton Woods</w:t>
      </w:r>
      <w:r>
        <w:rPr>
          <w:rFonts w:ascii="Cambria" w:hAnsi="Cambria" w:cs="Cambria" w:eastAsia="Cambria"/>
          <w:sz w:val="22"/>
        </w:rPr>
        <w:t xml:space="preserve">: Banco Mundial, </w:t>
      </w:r>
      <w:r>
        <w:rPr>
          <w:rFonts w:ascii="Cambria" w:hAnsi="Cambria" w:cs="Cambria" w:eastAsia="Cambria"/>
          <w:b/>
          <w:sz w:val="22"/>
        </w:rPr>
        <w:t>FMI</w:t>
      </w:r>
      <w:r>
        <w:rPr>
          <w:rFonts w:ascii="Cambria" w:hAnsi="Cambria" w:cs="Cambria" w:eastAsia="Cambria"/>
          <w:sz w:val="22"/>
        </w:rPr>
        <w:t>, dólar como moneda de referencia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GATT 1947</w:t>
      </w:r>
      <w:r>
        <w:rPr>
          <w:rFonts w:ascii="Cambria" w:hAnsi="Cambria" w:cs="Cambria" w:eastAsia="Cambria"/>
          <w:sz w:val="22"/>
        </w:rPr>
        <w:t>, pero la Guerra Fría favoreció la integración regional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Tres bloques: occidental (</w:t>
      </w:r>
      <w:r>
        <w:rPr>
          <w:rFonts w:ascii="Cambria" w:hAnsi="Cambria" w:cs="Cambria" w:eastAsia="Cambria"/>
          <w:b/>
          <w:sz w:val="22"/>
        </w:rPr>
        <w:t>EEUU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CEE</w:t>
      </w:r>
      <w:r>
        <w:rPr>
          <w:rFonts w:ascii="Cambria" w:hAnsi="Cambria" w:cs="Cambria" w:eastAsia="Cambria"/>
          <w:sz w:val="22"/>
        </w:rPr>
        <w:t xml:space="preserve"> 1957), soviético (</w:t>
      </w:r>
      <w:r>
        <w:rPr>
          <w:rFonts w:ascii="Cambria" w:hAnsi="Cambria" w:cs="Cambria" w:eastAsia="Cambria"/>
          <w:b/>
          <w:sz w:val="22"/>
        </w:rPr>
        <w:t>COMECON</w:t>
      </w:r>
      <w:r>
        <w:rPr>
          <w:rFonts w:ascii="Cambria" w:hAnsi="Cambria" w:cs="Cambria" w:eastAsia="Cambria"/>
          <w:sz w:val="22"/>
        </w:rPr>
        <w:t>) y resto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Productos agrícolas, la mitad del comercio. Ganan peso manufacturas y petróleo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Desde la crisis del petróleo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Crisis de </w:t>
      </w:r>
      <w:r>
        <w:rPr>
          <w:rFonts w:ascii="Cambria" w:hAnsi="Cambria" w:cs="Cambria" w:eastAsia="Cambria"/>
          <w:b/>
          <w:sz w:val="22"/>
        </w:rPr>
        <w:t>1973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1979</w:t>
      </w:r>
      <w:r>
        <w:rPr>
          <w:rFonts w:ascii="Cambria" w:hAnsi="Cambria" w:cs="Cambria" w:eastAsia="Cambria"/>
          <w:sz w:val="22"/>
        </w:rPr>
        <w:t>: trasvase financiero a exportadores de crudo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Liberalización por rondas del GATT: comercio de bienes y servicios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Actualidad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Crecimiento casi continuo desde finales de los ochenta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Caídas: </w:t>
      </w:r>
      <w:r>
        <w:rPr>
          <w:rFonts w:ascii="Cambria" w:hAnsi="Cambria" w:cs="Cambria" w:eastAsia="Cambria"/>
          <w:b/>
          <w:sz w:val="22"/>
        </w:rPr>
        <w:t>2009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–22%</w:t>
      </w:r>
      <w:r>
        <w:rPr>
          <w:rFonts w:ascii="Cambria" w:hAnsi="Cambria" w:cs="Cambria" w:eastAsia="Cambria"/>
          <w:sz w:val="22"/>
        </w:rPr>
        <w:t xml:space="preserve"> mercancías, </w:t>
      </w:r>
      <w:r>
        <w:rPr>
          <w:rFonts w:ascii="Cambria" w:hAnsi="Cambria" w:cs="Cambria" w:eastAsia="Cambria"/>
          <w:b/>
          <w:sz w:val="22"/>
        </w:rPr>
        <w:t>–9%</w:t>
      </w:r>
      <w:r>
        <w:rPr>
          <w:rFonts w:ascii="Cambria" w:hAnsi="Cambria" w:cs="Cambria" w:eastAsia="Cambria"/>
          <w:sz w:val="22"/>
        </w:rPr>
        <w:t xml:space="preserve"> servicios), </w:t>
      </w:r>
      <w:r>
        <w:rPr>
          <w:rFonts w:ascii="Cambria" w:hAnsi="Cambria" w:cs="Cambria" w:eastAsia="Cambria"/>
          <w:b/>
          <w:sz w:val="22"/>
        </w:rPr>
        <w:t>2015-2016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–15%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–4,5%</w:t>
      </w:r>
      <w:r>
        <w:rPr>
          <w:rFonts w:ascii="Cambria" w:hAnsi="Cambria" w:cs="Cambria" w:eastAsia="Cambria"/>
          <w:sz w:val="22"/>
        </w:rPr>
        <w:t xml:space="preserve">), </w:t>
      </w:r>
      <w:r>
        <w:rPr>
          <w:rFonts w:ascii="Cambria" w:hAnsi="Cambria" w:cs="Cambria" w:eastAsia="Cambria"/>
          <w:b/>
          <w:sz w:val="22"/>
        </w:rPr>
        <w:t>2019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–3,0%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+2,1%</w:t>
      </w:r>
      <w:r>
        <w:rPr>
          <w:rFonts w:ascii="Cambria" w:hAnsi="Cambria" w:cs="Cambria" w:eastAsia="Cambria"/>
          <w:sz w:val="22"/>
        </w:rPr>
        <w:t xml:space="preserve">), covid-19 en </w:t>
      </w:r>
      <w:r>
        <w:rPr>
          <w:rFonts w:ascii="Cambria" w:hAnsi="Cambria" w:cs="Cambria" w:eastAsia="Cambria"/>
          <w:b/>
          <w:sz w:val="22"/>
        </w:rPr>
        <w:t>2020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Ralentización en </w:t>
      </w:r>
      <w:r>
        <w:rPr>
          <w:rFonts w:ascii="Cambria" w:hAnsi="Cambria" w:cs="Cambria" w:eastAsia="Cambria"/>
          <w:b/>
          <w:sz w:val="22"/>
        </w:rPr>
        <w:t>2023</w:t>
      </w:r>
      <w:r>
        <w:rPr>
          <w:rFonts w:ascii="Cambria" w:hAnsi="Cambria" w:cs="Cambria" w:eastAsia="Cambria"/>
          <w:sz w:val="22"/>
        </w:rPr>
        <w:t xml:space="preserve"> y repunte en </w:t>
      </w:r>
      <w:r>
        <w:rPr>
          <w:rFonts w:ascii="Cambria" w:hAnsi="Cambria" w:cs="Cambria" w:eastAsia="Cambria"/>
          <w:b/>
          <w:sz w:val="22"/>
        </w:rPr>
        <w:t>2024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2025</w:t>
      </w:r>
      <w:r>
        <w:rPr>
          <w:rFonts w:ascii="Cambria" w:hAnsi="Cambria" w:cs="Cambria" w:eastAsia="Cambria"/>
          <w:sz w:val="22"/>
        </w:rPr>
        <w:t>, este por pedidos anticipados ante aranceles de EEUU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Factores: crecimiento económico, relaciones comerciales, fin de la Guerra Fría, incorporación del bloque soviético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OMC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Nace el </w:t>
      </w:r>
      <w:r>
        <w:rPr>
          <w:rFonts w:ascii="Cambria" w:hAnsi="Cambria" w:cs="Cambria" w:eastAsia="Cambria"/>
          <w:b/>
          <w:sz w:val="22"/>
        </w:rPr>
        <w:t>1 de enero de 1995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166 miembros</w:t>
      </w:r>
      <w:r>
        <w:rPr>
          <w:rFonts w:ascii="Cambria" w:hAnsi="Cambria" w:cs="Cambria" w:eastAsia="Cambria"/>
          <w:sz w:val="22"/>
        </w:rPr>
        <w:t xml:space="preserve"> (Comoras y Timor Oriental en 2024, </w:t>
      </w:r>
      <w:r>
        <w:rPr>
          <w:rFonts w:ascii="Cambria" w:hAnsi="Cambria" w:cs="Cambria" w:eastAsia="Cambria"/>
          <w:b/>
          <w:sz w:val="22"/>
        </w:rPr>
        <w:t>XIII Conferencia Ministerial</w:t>
      </w:r>
      <w:r>
        <w:rPr>
          <w:rFonts w:ascii="Cambria" w:hAnsi="Cambria" w:cs="Cambria" w:eastAsia="Cambria"/>
          <w:sz w:val="22"/>
        </w:rPr>
        <w:t xml:space="preserve"> de Abu Dabi), </w:t>
      </w:r>
      <w:r>
        <w:rPr>
          <w:rFonts w:ascii="Cambria" w:hAnsi="Cambria" w:cs="Cambria" w:eastAsia="Cambria"/>
          <w:b/>
          <w:sz w:val="22"/>
        </w:rPr>
        <w:t>22</w:t>
      </w:r>
      <w:r>
        <w:rPr>
          <w:rFonts w:ascii="Cambria" w:hAnsi="Cambria" w:cs="Cambria" w:eastAsia="Cambria"/>
          <w:sz w:val="22"/>
        </w:rPr>
        <w:t xml:space="preserve"> en adhesión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Comercio crece más que la producción mundial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Rasgos del comercio mundial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Internacionalización y tendencia al librecambio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Neoproteccionismo camuflado</w:t>
      </w:r>
      <w:r>
        <w:rPr>
          <w:rFonts w:ascii="Cambria" w:hAnsi="Cambria" w:cs="Cambria" w:eastAsia="Cambria"/>
          <w:sz w:val="22"/>
        </w:rPr>
        <w:t>: obstáculos técnicos, medidas sanitarias y fitosanitarias, medidas fiscales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Desde </w:t>
      </w:r>
      <w:r>
        <w:rPr>
          <w:rFonts w:ascii="Cambria" w:hAnsi="Cambria" w:cs="Cambria" w:eastAsia="Cambria"/>
          <w:b/>
          <w:sz w:val="22"/>
        </w:rPr>
        <w:t>2025</w:t>
      </w:r>
      <w:r>
        <w:rPr>
          <w:rFonts w:ascii="Cambria" w:hAnsi="Cambria" w:cs="Cambria" w:eastAsia="Cambria"/>
          <w:sz w:val="22"/>
        </w:rPr>
        <w:t>, repunte arancelario abierto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Más servicios (digitales y telecomunicaciones) y alta tecnología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Comercio </w:t>
      </w:r>
      <w:r>
        <w:rPr>
          <w:rFonts w:ascii="Cambria" w:hAnsi="Cambria" w:cs="Cambria" w:eastAsia="Cambria"/>
          <w:b/>
          <w:sz w:val="22"/>
        </w:rPr>
        <w:t>intraindustrial</w:t>
      </w:r>
      <w:r>
        <w:rPr>
          <w:rFonts w:ascii="Cambria" w:hAnsi="Cambria" w:cs="Cambria" w:eastAsia="Cambria"/>
          <w:sz w:val="22"/>
        </w:rPr>
        <w:t xml:space="preserve"> e </w:t>
      </w:r>
      <w:r>
        <w:rPr>
          <w:rFonts w:ascii="Cambria" w:hAnsi="Cambria" w:cs="Cambria" w:eastAsia="Cambria"/>
          <w:b/>
          <w:sz w:val="22"/>
        </w:rPr>
        <w:t>intraempresa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Datos OMC (World Trade Statistics 2025)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Bienes y servicios: </w:t>
      </w:r>
      <w:r>
        <w:rPr>
          <w:rFonts w:ascii="Cambria" w:hAnsi="Cambria" w:cs="Cambria" w:eastAsia="Cambria"/>
          <w:b/>
          <w:sz w:val="22"/>
        </w:rPr>
        <w:t>34,9 billones de dólares</w:t>
      </w:r>
      <w:r>
        <w:rPr>
          <w:rFonts w:ascii="Cambria" w:hAnsi="Cambria" w:cs="Cambria" w:eastAsia="Cambria"/>
          <w:sz w:val="22"/>
        </w:rPr>
        <w:t xml:space="preserve"> en 2025, cerca de </w:t>
      </w:r>
      <w:r>
        <w:rPr>
          <w:rFonts w:ascii="Cambria" w:hAnsi="Cambria" w:cs="Cambria" w:eastAsia="Cambria"/>
          <w:b/>
          <w:sz w:val="22"/>
        </w:rPr>
        <w:t>+8%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Mercancías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72,5%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UE</w:t>
      </w:r>
      <w:r>
        <w:rPr>
          <w:rFonts w:ascii="Cambria" w:hAnsi="Cambria" w:cs="Cambria" w:eastAsia="Cambria"/>
          <w:sz w:val="22"/>
        </w:rPr>
        <w:t>, primer exportador e importador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Exportadores: China, EEUU, Japón, Corea del Sur. Importadores: EEUU, China, Japón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Manufacturas primero (la mitad, bienes de equipo), después combustibles y minería y agrícolas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Servicios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27,5%</w:t>
      </w:r>
      <w:r>
        <w:rPr>
          <w:rFonts w:ascii="Cambria" w:hAnsi="Cambria" w:cs="Cambria" w:eastAsia="Cambria"/>
          <w:sz w:val="22"/>
        </w:rPr>
        <w:t>, máximo desde 2005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Impulso del </w:t>
      </w:r>
      <w:r>
        <w:rPr>
          <w:rFonts w:ascii="Cambria" w:hAnsi="Cambria" w:cs="Cambria" w:eastAsia="Cambria"/>
          <w:b/>
          <w:sz w:val="22"/>
        </w:rPr>
        <w:t>GATS</w:t>
      </w:r>
      <w:r>
        <w:rPr>
          <w:rFonts w:ascii="Cambria" w:hAnsi="Cambria" w:cs="Cambria" w:eastAsia="Cambria"/>
          <w:sz w:val="22"/>
        </w:rPr>
        <w:t xml:space="preserve">, concentrado en la </w:t>
      </w:r>
      <w:r>
        <w:rPr>
          <w:rFonts w:ascii="Cambria" w:hAnsi="Cambria" w:cs="Cambria" w:eastAsia="Cambria"/>
          <w:b/>
          <w:sz w:val="22"/>
        </w:rPr>
        <w:t>OCDE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EEUU</w:t>
      </w:r>
      <w:r>
        <w:rPr>
          <w:rFonts w:ascii="Cambria" w:hAnsi="Cambria" w:cs="Cambria" w:eastAsia="Cambria"/>
          <w:sz w:val="22"/>
        </w:rPr>
        <w:t xml:space="preserve"> primero, seguido de UE y Reino Unido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Viajes, transporte, digitales y otros servicios comerciales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Tendencia evolutiva: globalización y concentración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Globalización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Ventajas: asignación de recursos, difusión tecnológica, disciplina sobre políticas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Fuerzas integradoras: comercio, integración regional, mercados financieros, tecnología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Fuerzas desintegradoras: desarrollo y demografía dispares, volatilidad cambiaria, problemas energéticos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Factores impulsores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Impulso político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OMC</w:t>
      </w:r>
      <w:r>
        <w:rPr>
          <w:rFonts w:ascii="Cambria" w:hAnsi="Cambria" w:cs="Cambria" w:eastAsia="Cambria"/>
          <w:sz w:val="22"/>
        </w:rPr>
        <w:t xml:space="preserve"> con </w:t>
      </w:r>
      <w:r>
        <w:rPr>
          <w:rFonts w:ascii="Cambria" w:hAnsi="Cambria" w:cs="Cambria" w:eastAsia="Cambria"/>
          <w:b/>
          <w:sz w:val="22"/>
        </w:rPr>
        <w:t>GATT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GATS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ADPIC/TRIPS</w:t>
      </w:r>
      <w:r>
        <w:rPr>
          <w:rFonts w:ascii="Cambria" w:hAnsi="Cambria" w:cs="Cambria" w:eastAsia="Cambria"/>
          <w:sz w:val="22"/>
        </w:rPr>
        <w:t xml:space="preserve">, bloques regionales, caída del Muro de Berlín (UE de </w:t>
      </w:r>
      <w:r>
        <w:rPr>
          <w:rFonts w:ascii="Cambria" w:hAnsi="Cambria" w:cs="Cambria" w:eastAsia="Cambria"/>
          <w:b/>
          <w:sz w:val="22"/>
        </w:rPr>
        <w:t>2004</w:t>
      </w:r>
      <w:r>
        <w:rPr>
          <w:rFonts w:ascii="Cambria" w:hAnsi="Cambria" w:cs="Cambria" w:eastAsia="Cambria"/>
          <w:sz w:val="22"/>
        </w:rPr>
        <w:t xml:space="preserve"> a </w:t>
      </w:r>
      <w:r>
        <w:rPr>
          <w:rFonts w:ascii="Cambria" w:hAnsi="Cambria" w:cs="Cambria" w:eastAsia="Cambria"/>
          <w:b/>
          <w:sz w:val="22"/>
        </w:rPr>
        <w:t>Croacia 2013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Transporte y telecomunicaciones</w:t>
      </w:r>
      <w:r>
        <w:rPr>
          <w:rFonts w:ascii="Cambria" w:hAnsi="Cambria" w:cs="Cambria" w:eastAsia="Cambria"/>
          <w:sz w:val="22"/>
        </w:rPr>
        <w:t>: internet y plataformas digitales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Cambios tecnológicos y concentración empresarial</w:t>
      </w:r>
      <w:r>
        <w:rPr>
          <w:rFonts w:ascii="Cambria" w:hAnsi="Cambria" w:cs="Cambria" w:eastAsia="Cambria"/>
          <w:sz w:val="22"/>
        </w:rPr>
        <w:t>: fusiones transnacionales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Deslocalización</w:t>
      </w:r>
      <w:r>
        <w:rPr>
          <w:rFonts w:ascii="Cambria" w:hAnsi="Cambria" w:cs="Cambria" w:eastAsia="Cambria"/>
          <w:sz w:val="22"/>
        </w:rPr>
        <w:t>: textil y calzado a emergentes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Mercado financiero global</w:t>
      </w:r>
      <w:r>
        <w:rPr>
          <w:rFonts w:ascii="Cambria" w:hAnsi="Cambria" w:cs="Cambria" w:eastAsia="Cambria"/>
          <w:sz w:val="22"/>
        </w:rPr>
        <w:t>: Nueva York, Tokio, Londres, Fráncfort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Estrategia empresarial</w:t>
      </w:r>
      <w:r>
        <w:rPr>
          <w:rFonts w:ascii="Cambria" w:hAnsi="Cambria" w:cs="Cambria" w:eastAsia="Cambria"/>
          <w:sz w:val="22"/>
        </w:rPr>
        <w:t xml:space="preserve">: multinacionales y </w:t>
      </w:r>
      <w:r>
        <w:rPr>
          <w:rFonts w:ascii="Cambria" w:hAnsi="Cambria" w:cs="Cambria" w:eastAsia="Cambria"/>
          <w:b/>
          <w:sz w:val="22"/>
        </w:rPr>
        <w:t>PYME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Concentración (regionalismo)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Interés político, más competencia, beneficios al consumidor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Amenaza y oportunidad para las empresas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Más del </w:t>
      </w:r>
      <w:r>
        <w:rPr>
          <w:rFonts w:ascii="Cambria" w:hAnsi="Cambria" w:cs="Cambria" w:eastAsia="Cambria"/>
          <w:b/>
          <w:sz w:val="22"/>
        </w:rPr>
        <w:t>50%</w:t>
      </w:r>
      <w:r>
        <w:rPr>
          <w:rFonts w:ascii="Cambria" w:hAnsi="Cambria" w:cs="Cambria" w:eastAsia="Cambria"/>
          <w:sz w:val="22"/>
        </w:rPr>
        <w:t xml:space="preserve"> del comercio mundial bajo estos acuerdos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Fases de integración</w:t>
      </w:r>
      <w:r>
        <w:rPr>
          <w:rFonts w:ascii="Cambria" w:hAnsi="Cambria" w:cs="Cambria" w:eastAsia="Cambria"/>
          <w:sz w:val="22"/>
        </w:rPr>
        <w:t>, de menor a mayor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Acuerdo preferencial</w:t>
      </w:r>
      <w:r>
        <w:rPr>
          <w:rFonts w:ascii="Cambria" w:hAnsi="Cambria" w:cs="Cambria" w:eastAsia="Cambria"/>
          <w:sz w:val="22"/>
        </w:rPr>
        <w:t>: Commonwealth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Zona de libre comercio</w:t>
      </w:r>
      <w:r>
        <w:rPr>
          <w:rFonts w:ascii="Cambria" w:hAnsi="Cambria" w:cs="Cambria" w:eastAsia="Cambria"/>
          <w:sz w:val="22"/>
        </w:rPr>
        <w:t xml:space="preserve">: arancel propio frente a terceros. </w:t>
      </w:r>
      <w:r>
        <w:rPr>
          <w:rFonts w:ascii="Cambria" w:hAnsi="Cambria" w:cs="Cambria" w:eastAsia="Cambria"/>
          <w:b/>
          <w:sz w:val="22"/>
        </w:rPr>
        <w:t>EFTA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Unión aduanera</w:t>
      </w:r>
      <w:r>
        <w:rPr>
          <w:rFonts w:ascii="Cambria" w:hAnsi="Cambria" w:cs="Cambria" w:eastAsia="Cambria"/>
          <w:sz w:val="22"/>
        </w:rPr>
        <w:t>: arancel exterior común. BENELUX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Mercado común</w:t>
      </w:r>
      <w:r>
        <w:rPr>
          <w:rFonts w:ascii="Cambria" w:hAnsi="Cambria" w:cs="Cambria" w:eastAsia="Cambria"/>
          <w:sz w:val="22"/>
        </w:rPr>
        <w:t xml:space="preserve">: libre circulación de bienes, capitales y trabajadores. Mercado Único, </w:t>
      </w:r>
      <w:r>
        <w:rPr>
          <w:rFonts w:ascii="Cambria" w:hAnsi="Cambria" w:cs="Cambria" w:eastAsia="Cambria"/>
          <w:b/>
          <w:sz w:val="22"/>
        </w:rPr>
        <w:t>1 de enero de 1993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Unión económica</w:t>
      </w:r>
      <w:r>
        <w:rPr>
          <w:rFonts w:ascii="Cambria" w:hAnsi="Cambria" w:cs="Cambria" w:eastAsia="Cambria"/>
          <w:sz w:val="22"/>
        </w:rPr>
        <w:t>: objetivos macroeconómicos y políticas comunes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Unión monetaria</w:t>
      </w:r>
      <w:r>
        <w:rPr>
          <w:rFonts w:ascii="Cambria" w:hAnsi="Cambria" w:cs="Cambria" w:eastAsia="Cambria"/>
          <w:sz w:val="22"/>
        </w:rPr>
        <w:t xml:space="preserve">: moneda única y banco central. Euro, </w:t>
      </w:r>
      <w:r>
        <w:rPr>
          <w:rFonts w:ascii="Cambria" w:hAnsi="Cambria" w:cs="Cambria" w:eastAsia="Cambria"/>
          <w:b/>
          <w:sz w:val="22"/>
        </w:rPr>
        <w:t>2002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Unión política</w:t>
      </w:r>
      <w:r>
        <w:rPr>
          <w:rFonts w:ascii="Cambria" w:hAnsi="Cambria" w:cs="Cambria" w:eastAsia="Cambria"/>
          <w:sz w:val="22"/>
        </w:rPr>
        <w:t xml:space="preserve">: un único país. La UE no llega (rechazo de la Constitución Europea en </w:t>
      </w:r>
      <w:r>
        <w:rPr>
          <w:rFonts w:ascii="Cambria" w:hAnsi="Cambria" w:cs="Cambria" w:eastAsia="Cambria"/>
          <w:b/>
          <w:sz w:val="22"/>
        </w:rPr>
        <w:t>2005</w:t>
      </w:r>
      <w:r>
        <w:rPr>
          <w:rFonts w:ascii="Cambria" w:hAnsi="Cambria" w:cs="Cambria" w:eastAsia="Cambria"/>
          <w:sz w:val="22"/>
        </w:rPr>
        <w:t xml:space="preserve"> en Francia y Países Bajos)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Principales áreas de integración económica y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Europa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COMECON</w:t>
      </w:r>
      <w:r>
        <w:rPr>
          <w:rFonts w:ascii="Cambria" w:hAnsi="Cambria" w:cs="Cambria" w:eastAsia="Cambria"/>
          <w:sz w:val="22"/>
        </w:rPr>
        <w:t xml:space="preserve">: 1949, URSS, disuelto en </w:t>
      </w:r>
      <w:r>
        <w:rPr>
          <w:rFonts w:ascii="Cambria" w:hAnsi="Cambria" w:cs="Cambria" w:eastAsia="Cambria"/>
          <w:b/>
          <w:sz w:val="22"/>
        </w:rPr>
        <w:t>1991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Polonia, Chequia, Eslovaquia, Hungría, Eslovenia, Croacia: UE en </w:t>
      </w:r>
      <w:r>
        <w:rPr>
          <w:rFonts w:ascii="Cambria" w:hAnsi="Cambria" w:cs="Cambria" w:eastAsia="Cambria"/>
          <w:b/>
          <w:sz w:val="22"/>
        </w:rPr>
        <w:t>2004</w:t>
      </w:r>
      <w:r>
        <w:rPr>
          <w:rFonts w:ascii="Cambria" w:hAnsi="Cambria" w:cs="Cambria" w:eastAsia="Cambria"/>
          <w:sz w:val="22"/>
        </w:rPr>
        <w:t xml:space="preserve"> (Croacia </w:t>
      </w:r>
      <w:r>
        <w:rPr>
          <w:rFonts w:ascii="Cambria" w:hAnsi="Cambria" w:cs="Cambria" w:eastAsia="Cambria"/>
          <w:b/>
          <w:sz w:val="22"/>
        </w:rPr>
        <w:t>2013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Rumanía y Bulgaria: UE en </w:t>
      </w:r>
      <w:r>
        <w:rPr>
          <w:rFonts w:ascii="Cambria" w:hAnsi="Cambria" w:cs="Cambria" w:eastAsia="Cambria"/>
          <w:b/>
          <w:sz w:val="22"/>
        </w:rPr>
        <w:t>2007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Rusia y exrepúblicas soviéticas, frenadas por incertidumbres políticas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EFTA</w:t>
      </w:r>
      <w:r>
        <w:rPr>
          <w:rFonts w:ascii="Cambria" w:hAnsi="Cambria" w:cs="Cambria" w:eastAsia="Cambria"/>
          <w:sz w:val="22"/>
        </w:rPr>
        <w:t>: 1960, Noruega, Suiza, Liechtenstein, Islandia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EEE</w:t>
      </w:r>
      <w:r>
        <w:rPr>
          <w:rFonts w:ascii="Cambria" w:hAnsi="Cambria" w:cs="Cambria" w:eastAsia="Cambria"/>
          <w:sz w:val="22"/>
        </w:rPr>
        <w:t xml:space="preserve"> (1994): UE-27 y tres países de la EFTA, salvo Suiza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UE</w:t>
      </w:r>
      <w:r>
        <w:rPr>
          <w:rFonts w:ascii="Cambria" w:hAnsi="Cambria" w:cs="Cambria" w:eastAsia="Cambria"/>
          <w:sz w:val="22"/>
        </w:rPr>
        <w:t xml:space="preserve">: Mercado Único </w:t>
      </w:r>
      <w:r>
        <w:rPr>
          <w:rFonts w:ascii="Cambria" w:hAnsi="Cambria" w:cs="Cambria" w:eastAsia="Cambria"/>
          <w:b/>
          <w:sz w:val="22"/>
        </w:rPr>
        <w:t>1993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UEM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sz w:val="22"/>
        </w:rPr>
        <w:t>2002</w:t>
      </w:r>
      <w:r>
        <w:rPr>
          <w:rFonts w:ascii="Cambria" w:hAnsi="Cambria" w:cs="Cambria" w:eastAsia="Cambria"/>
          <w:sz w:val="22"/>
        </w:rPr>
        <w:t>, principal zona comercial y de mayor integración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América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ALADI</w:t>
      </w:r>
      <w:r>
        <w:rPr>
          <w:rFonts w:ascii="Cambria" w:hAnsi="Cambria" w:cs="Cambria" w:eastAsia="Cambria"/>
          <w:sz w:val="22"/>
        </w:rPr>
        <w:t>: América Latina salvo Centroamérica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CAN</w:t>
      </w:r>
      <w:r>
        <w:rPr>
          <w:rFonts w:ascii="Cambria" w:hAnsi="Cambria" w:cs="Cambria" w:eastAsia="Cambria"/>
          <w:sz w:val="22"/>
        </w:rPr>
        <w:t xml:space="preserve">: 1969, unión aduanera. Venezuela salió en </w:t>
      </w:r>
      <w:r>
        <w:rPr>
          <w:rFonts w:ascii="Cambria" w:hAnsi="Cambria" w:cs="Cambria" w:eastAsia="Cambria"/>
          <w:b/>
          <w:sz w:val="22"/>
        </w:rPr>
        <w:t>2006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MERCOSUR</w:t>
      </w:r>
      <w:r>
        <w:rPr>
          <w:rFonts w:ascii="Cambria" w:hAnsi="Cambria" w:cs="Cambria" w:eastAsia="Cambria"/>
          <w:sz w:val="22"/>
        </w:rPr>
        <w:t>: 1991, unión aduanera, el de mayor éxito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Venezuela suspendida desde 2016. </w:t>
      </w:r>
      <w:r>
        <w:rPr>
          <w:rFonts w:ascii="Cambria" w:hAnsi="Cambria" w:cs="Cambria" w:eastAsia="Cambria"/>
          <w:b/>
          <w:sz w:val="22"/>
        </w:rPr>
        <w:t>Bolivia</w:t>
      </w:r>
      <w:r>
        <w:rPr>
          <w:rFonts w:ascii="Cambria" w:hAnsi="Cambria" w:cs="Cambria" w:eastAsia="Cambria"/>
          <w:sz w:val="22"/>
        </w:rPr>
        <w:t xml:space="preserve">, miembro de pleno derecho el </w:t>
      </w:r>
      <w:r>
        <w:rPr>
          <w:rFonts w:ascii="Cambria" w:hAnsi="Cambria" w:cs="Cambria" w:eastAsia="Cambria"/>
          <w:b/>
          <w:sz w:val="22"/>
        </w:rPr>
        <w:t>8 de julio de 2024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UE-MERCOSUR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EMPA</w:t>
      </w:r>
      <w:r>
        <w:rPr>
          <w:rFonts w:ascii="Cambria" w:hAnsi="Cambria" w:cs="Cambria" w:eastAsia="Cambria"/>
          <w:sz w:val="22"/>
        </w:rPr>
        <w:t xml:space="preserve"> e </w:t>
      </w:r>
      <w:r>
        <w:rPr>
          <w:rFonts w:ascii="Cambria" w:hAnsi="Cambria" w:cs="Cambria" w:eastAsia="Cambria"/>
          <w:b/>
          <w:sz w:val="22"/>
        </w:rPr>
        <w:t>iTA</w:t>
      </w:r>
      <w:r>
        <w:rPr>
          <w:rFonts w:ascii="Cambria" w:hAnsi="Cambria" w:cs="Cambria" w:eastAsia="Cambria"/>
          <w:sz w:val="22"/>
        </w:rPr>
        <w:t xml:space="preserve"> firmados el </w:t>
      </w:r>
      <w:r>
        <w:rPr>
          <w:rFonts w:ascii="Cambria" w:hAnsi="Cambria" w:cs="Cambria" w:eastAsia="Cambria"/>
          <w:b/>
          <w:sz w:val="22"/>
        </w:rPr>
        <w:t>17 de enero de 2026</w:t>
      </w:r>
      <w:r>
        <w:rPr>
          <w:rFonts w:ascii="Cambria" w:hAnsi="Cambria" w:cs="Cambria" w:eastAsia="Cambria"/>
          <w:sz w:val="22"/>
        </w:rPr>
        <w:t xml:space="preserve">, iTA aplicado provisionalmente desde el </w:t>
      </w:r>
      <w:r>
        <w:rPr>
          <w:rFonts w:ascii="Cambria" w:hAnsi="Cambria" w:cs="Cambria" w:eastAsia="Cambria"/>
          <w:b/>
          <w:sz w:val="22"/>
        </w:rPr>
        <w:t>1 de mayo de 2026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Parlamento Europeo pide dictamen al </w:t>
      </w:r>
      <w:r>
        <w:rPr>
          <w:rFonts w:ascii="Cambria" w:hAnsi="Cambria" w:cs="Cambria" w:eastAsia="Cambria"/>
          <w:b/>
          <w:sz w:val="22"/>
        </w:rPr>
        <w:t>TJUE</w:t>
      </w:r>
      <w:r>
        <w:rPr>
          <w:rFonts w:ascii="Cambria" w:hAnsi="Cambria" w:cs="Cambria" w:eastAsia="Cambria"/>
          <w:sz w:val="22"/>
        </w:rPr>
        <w:t>, que suspende su aprobación unos 16 a 18 meses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EMPA exige ratificar todos los Estados miembros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UNASUR</w:t>
      </w:r>
      <w:r>
        <w:rPr>
          <w:rFonts w:ascii="Cambria" w:hAnsi="Cambria" w:cs="Cambria" w:eastAsia="Cambria"/>
          <w:sz w:val="22"/>
        </w:rPr>
        <w:t xml:space="preserve">, sustituida por </w:t>
      </w:r>
      <w:r>
        <w:rPr>
          <w:rFonts w:ascii="Cambria" w:hAnsi="Cambria" w:cs="Cambria" w:eastAsia="Cambria"/>
          <w:b/>
          <w:sz w:val="22"/>
        </w:rPr>
        <w:t>PROSUR</w:t>
      </w:r>
      <w:r>
        <w:rPr>
          <w:rFonts w:ascii="Cambria" w:hAnsi="Cambria" w:cs="Cambria" w:eastAsia="Cambria"/>
          <w:sz w:val="22"/>
        </w:rPr>
        <w:t xml:space="preserve"> (2019)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Mercado Común Centroamericano</w:t>
      </w:r>
      <w:r>
        <w:rPr>
          <w:rFonts w:ascii="Cambria" w:hAnsi="Cambria" w:cs="Cambria" w:eastAsia="Cambria"/>
          <w:sz w:val="22"/>
        </w:rPr>
        <w:t>: seis países, libre comercio con EEUU en 2004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T-MEC/USMCA</w:t>
      </w:r>
      <w:r>
        <w:rPr>
          <w:rFonts w:ascii="Cambria" w:hAnsi="Cambria" w:cs="Cambria" w:eastAsia="Cambria"/>
          <w:sz w:val="22"/>
        </w:rPr>
        <w:t xml:space="preserve">: sustituye al </w:t>
      </w:r>
      <w:r>
        <w:rPr>
          <w:rFonts w:ascii="Cambria" w:hAnsi="Cambria" w:cs="Cambria" w:eastAsia="Cambria"/>
          <w:b/>
          <w:sz w:val="22"/>
        </w:rPr>
        <w:t>NAFTA</w:t>
      </w:r>
      <w:r>
        <w:rPr>
          <w:rFonts w:ascii="Cambria" w:hAnsi="Cambria" w:cs="Cambria" w:eastAsia="Cambria"/>
          <w:sz w:val="22"/>
        </w:rPr>
        <w:t xml:space="preserve"> desde el </w:t>
      </w:r>
      <w:r>
        <w:rPr>
          <w:rFonts w:ascii="Cambria" w:hAnsi="Cambria" w:cs="Cambria" w:eastAsia="Cambria"/>
          <w:b/>
          <w:sz w:val="22"/>
        </w:rPr>
        <w:t>1 de julio de 2020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Revisión del </w:t>
      </w:r>
      <w:r>
        <w:rPr>
          <w:rFonts w:ascii="Cambria" w:hAnsi="Cambria" w:cs="Cambria" w:eastAsia="Cambria"/>
          <w:b/>
          <w:sz w:val="22"/>
        </w:rPr>
        <w:t>1 de julio de 2026</w:t>
      </w:r>
      <w:r>
        <w:rPr>
          <w:rFonts w:ascii="Cambria" w:hAnsi="Cambria" w:cs="Cambria" w:eastAsia="Cambria"/>
          <w:sz w:val="22"/>
        </w:rPr>
        <w:t xml:space="preserve"> sin confirmar EEUU la prórroga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Sigue en vigor, revisión anual y expira en </w:t>
      </w:r>
      <w:r>
        <w:rPr>
          <w:rFonts w:ascii="Cambria" w:hAnsi="Cambria" w:cs="Cambria" w:eastAsia="Cambria"/>
          <w:b/>
          <w:sz w:val="22"/>
        </w:rPr>
        <w:t>julio de 2036</w:t>
      </w:r>
      <w:r>
        <w:rPr>
          <w:rFonts w:ascii="Cambria" w:hAnsi="Cambria" w:cs="Cambria" w:eastAsia="Cambria"/>
          <w:sz w:val="22"/>
        </w:rPr>
        <w:t xml:space="preserve"> sin prórroga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ALCA</w:t>
      </w:r>
      <w:r>
        <w:rPr>
          <w:rFonts w:ascii="Cambria" w:hAnsi="Cambria" w:cs="Cambria" w:eastAsia="Cambria"/>
          <w:sz w:val="22"/>
        </w:rPr>
        <w:t>: abandonado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Asia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ASEAN</w:t>
      </w:r>
      <w:r>
        <w:rPr>
          <w:rFonts w:ascii="Cambria" w:hAnsi="Cambria" w:cs="Cambria" w:eastAsia="Cambria"/>
          <w:sz w:val="22"/>
        </w:rPr>
        <w:t>: 1967, libre comercio desde 1992, once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APEC</w:t>
      </w:r>
      <w:r>
        <w:rPr>
          <w:rFonts w:ascii="Cambria" w:hAnsi="Cambria" w:cs="Cambria" w:eastAsia="Cambria"/>
          <w:sz w:val="22"/>
        </w:rPr>
        <w:t>: 1989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ASEM</w:t>
      </w:r>
      <w:r>
        <w:rPr>
          <w:rFonts w:ascii="Cambria" w:hAnsi="Cambria" w:cs="Cambria" w:eastAsia="Cambria"/>
          <w:sz w:val="22"/>
        </w:rPr>
        <w:t>: diálogo Asia-Europa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RCEP</w:t>
      </w:r>
      <w:r>
        <w:rPr>
          <w:rFonts w:ascii="Cambria" w:hAnsi="Cambria" w:cs="Cambria" w:eastAsia="Cambria"/>
          <w:sz w:val="22"/>
        </w:rPr>
        <w:t>: ASEAN más Australia, China, Japón, Corea del Sur, Nueva Zelanda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En vigor desde el </w:t>
      </w:r>
      <w:r>
        <w:rPr>
          <w:rFonts w:ascii="Cambria" w:hAnsi="Cambria" w:cs="Cambria" w:eastAsia="Cambria"/>
          <w:b/>
          <w:sz w:val="22"/>
        </w:rPr>
        <w:t>1 de enero de 2022</w:t>
      </w:r>
      <w:r>
        <w:rPr>
          <w:rFonts w:ascii="Cambria" w:hAnsi="Cambria" w:cs="Cambria" w:eastAsia="Cambria"/>
          <w:sz w:val="22"/>
        </w:rPr>
        <w:t>, quince miembros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Oceanía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ANZCERTA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Oriente Medio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Consejo de Cooperación del Golfo</w:t>
      </w:r>
      <w:r>
        <w:rPr>
          <w:rFonts w:ascii="Cambria" w:hAnsi="Cambria" w:cs="Cambria" w:eastAsia="Cambria"/>
          <w:sz w:val="22"/>
        </w:rPr>
        <w:t>: mercado común 2008, negociación con la UE suspendida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OPEP</w:t>
      </w:r>
      <w:r>
        <w:rPr>
          <w:rFonts w:ascii="Cambria" w:hAnsi="Cambria" w:cs="Cambria" w:eastAsia="Cambria"/>
          <w:sz w:val="22"/>
        </w:rPr>
        <w:t xml:space="preserve">: 1960, </w:t>
      </w:r>
      <w:r>
        <w:rPr>
          <w:rFonts w:ascii="Cambria" w:hAnsi="Cambria" w:cs="Cambria" w:eastAsia="Cambria"/>
          <w:b/>
          <w:sz w:val="22"/>
        </w:rPr>
        <w:t>12 miembros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África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CEA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AfCFTA</w:t>
      </w:r>
      <w:r>
        <w:rPr>
          <w:rFonts w:ascii="Cambria" w:hAnsi="Cambria" w:cs="Cambria" w:eastAsia="Cambria"/>
          <w:sz w:val="22"/>
        </w:rPr>
        <w:t xml:space="preserve"> (2018), mercado único continental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Política comercial de la Unión Europea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Prioridad: abrir mercados exteriores y abaratar bienes al consumidor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Conferencias Ministeriales de la OMC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Bali</w:t>
      </w:r>
      <w:r>
        <w:rPr>
          <w:rFonts w:ascii="Cambria" w:hAnsi="Cambria" w:cs="Cambria" w:eastAsia="Cambria"/>
          <w:sz w:val="22"/>
        </w:rPr>
        <w:t xml:space="preserve"> (2013): </w:t>
      </w:r>
      <w:r>
        <w:rPr>
          <w:rFonts w:ascii="Cambria" w:hAnsi="Cambria" w:cs="Cambria" w:eastAsia="Cambria"/>
          <w:b/>
          <w:sz w:val="22"/>
        </w:rPr>
        <w:t>Acuerdo de Facilitación de Comercio</w:t>
      </w:r>
      <w:r>
        <w:rPr>
          <w:rFonts w:ascii="Cambria" w:hAnsi="Cambria" w:cs="Cambria" w:eastAsia="Cambria"/>
          <w:sz w:val="22"/>
        </w:rPr>
        <w:t xml:space="preserve">, en vigor el </w:t>
      </w:r>
      <w:r>
        <w:rPr>
          <w:rFonts w:ascii="Cambria" w:hAnsi="Cambria" w:cs="Cambria" w:eastAsia="Cambria"/>
          <w:b/>
          <w:sz w:val="22"/>
        </w:rPr>
        <w:t>22 de febrero de 2017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Nairobi</w:t>
      </w:r>
      <w:r>
        <w:rPr>
          <w:rFonts w:ascii="Cambria" w:hAnsi="Cambria" w:cs="Cambria" w:eastAsia="Cambria"/>
          <w:sz w:val="22"/>
        </w:rPr>
        <w:t xml:space="preserve"> (2015): agricultura y países menos adelantados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Buenos Aires</w:t>
      </w:r>
      <w:r>
        <w:rPr>
          <w:rFonts w:ascii="Cambria" w:hAnsi="Cambria" w:cs="Cambria" w:eastAsia="Cambria"/>
          <w:sz w:val="22"/>
        </w:rPr>
        <w:t xml:space="preserve"> (2017): subsidios a la pesca y comercio electrónico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Ginebra</w:t>
      </w:r>
      <w:r>
        <w:rPr>
          <w:rFonts w:ascii="Cambria" w:hAnsi="Cambria" w:cs="Cambria" w:eastAsia="Cambria"/>
          <w:sz w:val="22"/>
        </w:rPr>
        <w:t xml:space="preserve"> (2022) y </w:t>
      </w:r>
      <w:r>
        <w:rPr>
          <w:rFonts w:ascii="Cambria" w:hAnsi="Cambria" w:cs="Cambria" w:eastAsia="Cambria"/>
          <w:b/>
          <w:sz w:val="22"/>
        </w:rPr>
        <w:t>Abu Dabi</w:t>
      </w:r>
      <w:r>
        <w:rPr>
          <w:rFonts w:ascii="Cambria" w:hAnsi="Cambria" w:cs="Cambria" w:eastAsia="Cambria"/>
          <w:sz w:val="22"/>
        </w:rPr>
        <w:t xml:space="preserve"> (2024): moratoria al comercio electrónico prorrogada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Yaundé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26-29 de marzo de 2026</w:t>
      </w:r>
      <w:r>
        <w:rPr>
          <w:rFonts w:ascii="Cambria" w:hAnsi="Cambria" w:cs="Cambria" w:eastAsia="Cambria"/>
          <w:sz w:val="22"/>
        </w:rPr>
        <w:t xml:space="preserve">): dos decisiones, </w:t>
      </w:r>
      <w:r>
        <w:rPr>
          <w:rFonts w:ascii="Cambria" w:hAnsi="Cambria" w:cs="Cambria" w:eastAsia="Cambria"/>
          <w:b/>
          <w:sz w:val="22"/>
        </w:rPr>
        <w:t>Paquete de Yaundé</w:t>
      </w:r>
      <w:r>
        <w:rPr>
          <w:rFonts w:ascii="Cambria" w:hAnsi="Cambria" w:cs="Cambria" w:eastAsia="Cambria"/>
          <w:sz w:val="22"/>
        </w:rPr>
        <w:t xml:space="preserve"> sobre pesca, moratoria sin prorrogar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Acuerdos plurilaterales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EGA</w:t>
      </w:r>
      <w:r>
        <w:rPr>
          <w:rFonts w:ascii="Cambria" w:hAnsi="Cambria" w:cs="Cambria" w:eastAsia="Cambria"/>
          <w:sz w:val="22"/>
        </w:rPr>
        <w:t>: bienes medioambientales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ITA</w:t>
      </w:r>
      <w:r>
        <w:rPr>
          <w:rFonts w:ascii="Cambria" w:hAnsi="Cambria" w:cs="Cambria" w:eastAsia="Cambria"/>
          <w:sz w:val="22"/>
        </w:rPr>
        <w:t>: tecnología de la información, Singapur 1996, ampliado en 2015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TiSA</w:t>
      </w:r>
      <w:r>
        <w:rPr>
          <w:rFonts w:ascii="Cambria" w:hAnsi="Cambria" w:cs="Cambria" w:eastAsia="Cambria"/>
          <w:sz w:val="22"/>
        </w:rPr>
        <w:t>: servicios, en suspenso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Contratación Pública</w:t>
      </w:r>
      <w:r>
        <w:rPr>
          <w:rFonts w:ascii="Cambria" w:hAnsi="Cambria" w:cs="Cambria" w:eastAsia="Cambria"/>
          <w:sz w:val="22"/>
        </w:rPr>
        <w:t>: 1979, revisado en 2014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Propiedad intelectual</w:t>
      </w:r>
      <w:r>
        <w:rPr>
          <w:rFonts w:ascii="Cambria" w:hAnsi="Cambria" w:cs="Cambria" w:eastAsia="Cambria"/>
          <w:sz w:val="22"/>
        </w:rPr>
        <w:t xml:space="preserve">: sistema multilateral de indicaciones geográficas sin completar. UE promueve el </w:t>
      </w:r>
      <w:r>
        <w:rPr>
          <w:rFonts w:ascii="Cambria" w:hAnsi="Cambria" w:cs="Cambria" w:eastAsia="Cambria"/>
          <w:b/>
          <w:sz w:val="22"/>
        </w:rPr>
        <w:t>Arreglo de Lisboa</w:t>
      </w:r>
      <w:r>
        <w:rPr>
          <w:rFonts w:ascii="Cambria" w:hAnsi="Cambria" w:cs="Cambria" w:eastAsia="Cambria"/>
          <w:sz w:val="22"/>
        </w:rPr>
        <w:t xml:space="preserve"> en la </w:t>
      </w:r>
      <w:r>
        <w:rPr>
          <w:rFonts w:ascii="Cambria" w:hAnsi="Cambria" w:cs="Cambria" w:eastAsia="Cambria"/>
          <w:b/>
          <w:sz w:val="22"/>
        </w:rPr>
        <w:t>OMPI</w:t>
      </w:r>
      <w:r>
        <w:rPr>
          <w:rFonts w:ascii="Cambria" w:hAnsi="Cambria" w:cs="Cambria" w:eastAsia="Cambria"/>
          <w:sz w:val="22"/>
        </w:rPr>
        <w:t xml:space="preserve"> y acuerdos sobre vinos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Acuerdos bilaterales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EEUU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TTIP</w:t>
      </w:r>
      <w:r>
        <w:rPr>
          <w:rFonts w:ascii="Cambria" w:hAnsi="Cambria" w:cs="Cambria" w:eastAsia="Cambria"/>
          <w:sz w:val="22"/>
        </w:rPr>
        <w:t xml:space="preserve"> abandonado. Acuerdo marco de julio de </w:t>
      </w:r>
      <w:r>
        <w:rPr>
          <w:rFonts w:ascii="Cambria" w:hAnsi="Cambria" w:cs="Cambria" w:eastAsia="Cambria"/>
          <w:b/>
          <w:sz w:val="22"/>
        </w:rPr>
        <w:t>2025</w:t>
      </w:r>
      <w:r>
        <w:rPr>
          <w:rFonts w:ascii="Cambria" w:hAnsi="Cambria" w:cs="Cambria" w:eastAsia="Cambria"/>
          <w:sz w:val="22"/>
        </w:rPr>
        <w:t xml:space="preserve">, arancel general del </w:t>
      </w:r>
      <w:r>
        <w:rPr>
          <w:rFonts w:ascii="Cambria" w:hAnsi="Cambria" w:cs="Cambria" w:eastAsia="Cambria"/>
          <w:b/>
          <w:sz w:val="22"/>
        </w:rPr>
        <w:t>15%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Canadá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CETA</w:t>
      </w:r>
      <w:r>
        <w:rPr>
          <w:rFonts w:ascii="Cambria" w:hAnsi="Cambria" w:cs="Cambria" w:eastAsia="Cambria"/>
          <w:sz w:val="22"/>
        </w:rPr>
        <w:t xml:space="preserve">, aplicación provisional desde el </w:t>
      </w:r>
      <w:r>
        <w:rPr>
          <w:rFonts w:ascii="Cambria" w:hAnsi="Cambria" w:cs="Cambria" w:eastAsia="Cambria"/>
          <w:b/>
          <w:sz w:val="22"/>
        </w:rPr>
        <w:t>21 de septiembre de 2017</w:t>
      </w:r>
      <w:r>
        <w:rPr>
          <w:rFonts w:ascii="Cambria" w:hAnsi="Cambria" w:cs="Cambria" w:eastAsia="Cambria"/>
          <w:sz w:val="22"/>
        </w:rPr>
        <w:t>, ratificado por 17 de 27 Estados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Ecuador, Colombia y Perú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ACM</w:t>
      </w:r>
      <w:r>
        <w:rPr>
          <w:rFonts w:ascii="Cambria" w:hAnsi="Cambria" w:cs="Cambria" w:eastAsia="Cambria"/>
          <w:sz w:val="22"/>
        </w:rPr>
        <w:t>, aplicado desde 2013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Centroamérica</w:t>
      </w:r>
      <w:r>
        <w:rPr>
          <w:rFonts w:ascii="Cambria" w:hAnsi="Cambria" w:cs="Cambria" w:eastAsia="Cambria"/>
          <w:sz w:val="22"/>
        </w:rPr>
        <w:t>: Acuerdo de Asociación, 2012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MERCOSUR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EMPA</w:t>
      </w:r>
      <w:r>
        <w:rPr>
          <w:rFonts w:ascii="Cambria" w:hAnsi="Cambria" w:cs="Cambria" w:eastAsia="Cambria"/>
          <w:sz w:val="22"/>
        </w:rPr>
        <w:t xml:space="preserve"> e </w:t>
      </w:r>
      <w:r>
        <w:rPr>
          <w:rFonts w:ascii="Cambria" w:hAnsi="Cambria" w:cs="Cambria" w:eastAsia="Cambria"/>
          <w:b/>
          <w:sz w:val="22"/>
        </w:rPr>
        <w:t>iTA</w:t>
      </w:r>
      <w:r>
        <w:rPr>
          <w:rFonts w:ascii="Cambria" w:hAnsi="Cambria" w:cs="Cambria" w:eastAsia="Cambria"/>
          <w:sz w:val="22"/>
        </w:rPr>
        <w:t>, iTA desde el 1 de mayo de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México</w:t>
      </w:r>
      <w:r>
        <w:rPr>
          <w:rFonts w:ascii="Cambria" w:hAnsi="Cambria" w:cs="Cambria" w:eastAsia="Cambria"/>
          <w:sz w:val="22"/>
        </w:rPr>
        <w:t xml:space="preserve">: Acuerdo Global del año 2000, modernizado y firmado el </w:t>
      </w:r>
      <w:r>
        <w:rPr>
          <w:rFonts w:ascii="Cambria" w:hAnsi="Cambria" w:cs="Cambria" w:eastAsia="Cambria"/>
          <w:b/>
          <w:sz w:val="22"/>
        </w:rPr>
        <w:t>22 de mayo de 2026</w:t>
      </w:r>
      <w:r>
        <w:rPr>
          <w:rFonts w:ascii="Cambria" w:hAnsi="Cambria" w:cs="Cambria" w:eastAsia="Cambria"/>
          <w:sz w:val="22"/>
        </w:rPr>
        <w:t xml:space="preserve"> con Acuerdo Interino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Chile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ITA</w:t>
      </w:r>
      <w:r>
        <w:rPr>
          <w:rFonts w:ascii="Cambria" w:hAnsi="Cambria" w:cs="Cambria" w:eastAsia="Cambria"/>
          <w:sz w:val="22"/>
        </w:rPr>
        <w:t xml:space="preserve"> desde el </w:t>
      </w:r>
      <w:r>
        <w:rPr>
          <w:rFonts w:ascii="Cambria" w:hAnsi="Cambria" w:cs="Cambria" w:eastAsia="Cambria"/>
          <w:b/>
          <w:sz w:val="22"/>
        </w:rPr>
        <w:t>1 de febrero de 2025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AFA</w:t>
      </w:r>
      <w:r>
        <w:rPr>
          <w:rFonts w:ascii="Cambria" w:hAnsi="Cambria" w:cs="Cambria" w:eastAsia="Cambria"/>
          <w:sz w:val="22"/>
        </w:rPr>
        <w:t xml:space="preserve"> en aplicación provisional parcial desde el </w:t>
      </w:r>
      <w:r>
        <w:rPr>
          <w:rFonts w:ascii="Cambria" w:hAnsi="Cambria" w:cs="Cambria" w:eastAsia="Cambria"/>
          <w:b/>
          <w:sz w:val="22"/>
        </w:rPr>
        <w:t>1 de junio de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Cuba</w:t>
      </w:r>
      <w:r>
        <w:rPr>
          <w:rFonts w:ascii="Cambria" w:hAnsi="Cambria" w:cs="Cambria" w:eastAsia="Cambria"/>
          <w:sz w:val="22"/>
        </w:rPr>
        <w:t>: Diálogo Político y de Cooperación, aplicación provisional desde 2017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Bolivia</w:t>
      </w:r>
      <w:r>
        <w:rPr>
          <w:rFonts w:ascii="Cambria" w:hAnsi="Cambria" w:cs="Cambria" w:eastAsia="Cambria"/>
          <w:sz w:val="22"/>
        </w:rPr>
        <w:t>: sin prioridad, SPG+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Vecindad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PEV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Golfo</w:t>
      </w:r>
      <w:r>
        <w:rPr>
          <w:rFonts w:ascii="Cambria" w:hAnsi="Cambria" w:cs="Cambria" w:eastAsia="Cambria"/>
          <w:sz w:val="22"/>
        </w:rPr>
        <w:t>: Acuerdo de 1988 vigente, libre comercio suspendido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ACP</w:t>
      </w:r>
      <w:r>
        <w:rPr>
          <w:rFonts w:ascii="Cambria" w:hAnsi="Cambria" w:cs="Cambria" w:eastAsia="Cambria"/>
          <w:sz w:val="22"/>
        </w:rPr>
        <w:t xml:space="preserve">: Cotonú y </w:t>
      </w:r>
      <w:r>
        <w:rPr>
          <w:rFonts w:ascii="Cambria" w:hAnsi="Cambria" w:cs="Cambria" w:eastAsia="Cambria"/>
          <w:b/>
          <w:sz w:val="22"/>
        </w:rPr>
        <w:t>Acuerdos de Asociación Económica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Asia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Singapur y Vietnam firmados. Negociación con Malasia, Tailandia, Filipinas, Brunéi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Indonesia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CEPA</w:t>
      </w:r>
      <w:r>
        <w:rPr>
          <w:rFonts w:ascii="Cambria" w:hAnsi="Cambria" w:cs="Cambria" w:eastAsia="Cambria"/>
          <w:sz w:val="22"/>
        </w:rPr>
        <w:t xml:space="preserve"> concluido el 23 de septiembre de 2025. </w:t>
      </w:r>
      <w:r>
        <w:rPr>
          <w:rFonts w:ascii="Cambria" w:hAnsi="Cambria" w:cs="Cambria" w:eastAsia="Cambria"/>
          <w:b/>
          <w:sz w:val="22"/>
        </w:rPr>
        <w:t>India</w:t>
      </w:r>
      <w:r>
        <w:rPr>
          <w:rFonts w:ascii="Cambria" w:hAnsi="Cambria" w:cs="Cambria" w:eastAsia="Cambria"/>
          <w:sz w:val="22"/>
        </w:rPr>
        <w:t>: concluido en enero de 2026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Japón</w:t>
      </w:r>
      <w:r>
        <w:rPr>
          <w:rFonts w:ascii="Cambria" w:hAnsi="Cambria" w:cs="Cambria" w:eastAsia="Cambria"/>
          <w:sz w:val="22"/>
        </w:rPr>
        <w:t xml:space="preserve">: en vigor desde el </w:t>
      </w:r>
      <w:r>
        <w:rPr>
          <w:rFonts w:ascii="Cambria" w:hAnsi="Cambria" w:cs="Cambria" w:eastAsia="Cambria"/>
          <w:b/>
          <w:sz w:val="22"/>
        </w:rPr>
        <w:t>1 de febrero de 2019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China</w:t>
      </w:r>
      <w:r>
        <w:rPr>
          <w:rFonts w:ascii="Cambria" w:hAnsi="Cambria" w:cs="Cambria" w:eastAsia="Cambria"/>
          <w:sz w:val="22"/>
        </w:rPr>
        <w:t xml:space="preserve">: acuerdo sin concluir desde 2007, no es economía de mercado en la OMC, </w:t>
      </w:r>
      <w:r>
        <w:rPr>
          <w:rFonts w:ascii="Cambria" w:hAnsi="Cambria" w:cs="Cambria" w:eastAsia="Cambria"/>
          <w:b/>
          <w:sz w:val="22"/>
        </w:rPr>
        <w:t>CAI</w:t>
      </w:r>
      <w:r>
        <w:rPr>
          <w:rFonts w:ascii="Cambria" w:hAnsi="Cambria" w:cs="Cambria" w:eastAsia="Cambria"/>
          <w:sz w:val="22"/>
        </w:rPr>
        <w:t xml:space="preserve"> congelado desde 2021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TEORÍA Y PRÁCTICA DEL COMERCIO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Clásicos defienden el librecambio frente al mercantilismo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Ventaja absoluta</w:t>
      </w:r>
      <w:r>
        <w:rPr>
          <w:rFonts w:ascii="Cambria" w:hAnsi="Cambria" w:cs="Cambria" w:eastAsia="Cambria"/>
          <w:sz w:val="22"/>
        </w:rPr>
        <w:t xml:space="preserve"> de </w:t>
      </w:r>
      <w:r>
        <w:rPr>
          <w:rFonts w:ascii="Cambria" w:hAnsi="Cambria" w:cs="Cambria" w:eastAsia="Cambria"/>
          <w:b/>
          <w:sz w:val="22"/>
        </w:rPr>
        <w:t>Adam Smith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Ventaja comparativa</w:t>
      </w:r>
      <w:r>
        <w:rPr>
          <w:rFonts w:ascii="Cambria" w:hAnsi="Cambria" w:cs="Cambria" w:eastAsia="Cambria"/>
          <w:sz w:val="22"/>
        </w:rPr>
        <w:t xml:space="preserve"> de </w:t>
      </w:r>
      <w:r>
        <w:rPr>
          <w:rFonts w:ascii="Cambria" w:hAnsi="Cambria" w:cs="Cambria" w:eastAsia="Cambria"/>
          <w:b/>
          <w:sz w:val="22"/>
        </w:rPr>
        <w:t>David Ricardo</w:t>
      </w:r>
      <w:r>
        <w:rPr>
          <w:rFonts w:ascii="Cambria" w:hAnsi="Cambria" w:cs="Cambria" w:eastAsia="Cambria"/>
          <w:sz w:val="22"/>
        </w:rPr>
        <w:t>, fundamento central vigente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Preguntas: qué bienes se comercian, a qué precio, quién se beneficia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Teoría del comercio internacional: la ventaja comparativa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Ventaja absoluta</w:t>
      </w:r>
      <w:r>
        <w:rPr>
          <w:rFonts w:ascii="Cambria" w:hAnsi="Cambria" w:cs="Cambria" w:eastAsia="Cambria"/>
          <w:sz w:val="22"/>
        </w:rPr>
        <w:t>: se especializa en el bien que produce a menor coste. Si A la tiene en ambos bienes, no habría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Ventaja comparativa</w:t>
      </w:r>
      <w:r>
        <w:rPr>
          <w:rFonts w:ascii="Cambria" w:hAnsi="Cambria" w:cs="Cambria" w:eastAsia="Cambria"/>
          <w:sz w:val="22"/>
        </w:rPr>
        <w:t>: coste relativo, no absoluto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 se especializa en X si su coste relativo de X respecto a Y es menor que en B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Explica las ventajas recíprocas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Ejemplo</w:t>
      </w:r>
      <w:r>
        <w:rPr>
          <w:rFonts w:ascii="Cambria" w:hAnsi="Cambria" w:cs="Cambria" w:eastAsia="Cambria"/>
          <w:sz w:val="22"/>
        </w:rPr>
        <w:t xml:space="preserve"> tela y vino: A </w:t>
      </w:r>
      <w:r>
        <w:rPr>
          <w:rFonts w:ascii="Cambria" w:hAnsi="Cambria" w:cs="Cambria" w:eastAsia="Cambria"/>
          <w:b/>
          <w:sz w:val="22"/>
        </w:rPr>
        <w:t>100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120</w:t>
      </w:r>
      <w:r>
        <w:rPr>
          <w:rFonts w:ascii="Cambria" w:hAnsi="Cambria" w:cs="Cambria" w:eastAsia="Cambria"/>
          <w:sz w:val="22"/>
        </w:rPr>
        <w:t xml:space="preserve">, B </w:t>
      </w:r>
      <w:r>
        <w:rPr>
          <w:rFonts w:ascii="Cambria" w:hAnsi="Cambria" w:cs="Cambria" w:eastAsia="Cambria"/>
          <w:b/>
          <w:sz w:val="22"/>
        </w:rPr>
        <w:t>90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80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 tiene VA en ambos, pero VC en vino. A tiene VC en tela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Relación real de intercambio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Precios según </w:t>
      </w:r>
      <w:r>
        <w:rPr>
          <w:rFonts w:ascii="Cambria" w:hAnsi="Cambria" w:cs="Cambria" w:eastAsia="Cambria"/>
          <w:b/>
          <w:sz w:val="22"/>
        </w:rPr>
        <w:t>oferta</w:t>
      </w:r>
      <w:r>
        <w:rPr>
          <w:rFonts w:ascii="Cambria" w:hAnsi="Cambria" w:cs="Cambria" w:eastAsia="Cambria"/>
          <w:sz w:val="22"/>
        </w:rPr>
        <w:t xml:space="preserve"> (costes) y </w:t>
      </w:r>
      <w:r>
        <w:rPr>
          <w:rFonts w:ascii="Cambria" w:hAnsi="Cambria" w:cs="Cambria" w:eastAsia="Cambria"/>
          <w:b/>
          <w:sz w:val="22"/>
        </w:rPr>
        <w:t>demanda</w:t>
      </w:r>
      <w:r>
        <w:rPr>
          <w:rFonts w:ascii="Cambria" w:hAnsi="Cambria" w:cs="Cambria" w:eastAsia="Cambria"/>
          <w:sz w:val="22"/>
        </w:rPr>
        <w:t xml:space="preserve"> (preferencias)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RRI = Px / Pi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Mide el beneficio del país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Sube: más importaciones por el mismo volumen de exportaciones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Baja: deterioro de los términos de intercambio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Librecambio y proteccionismo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Controversia resurgida por tensiones y aranceles unilaterales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Competencia perfecta (neoclásico)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Librecambio siempre superior en bienestar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Reparto según la RRI, pero ningún país empeora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Proteccionismo distorsiona y baja el bienestar global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Competencia imperfecta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Librecambio aporta variedad y menores precios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Argumentos proteccionistas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Industria naciente</w:t>
      </w:r>
      <w:r>
        <w:rPr>
          <w:rFonts w:ascii="Cambria" w:hAnsi="Cambria" w:cs="Cambria" w:eastAsia="Cambria"/>
          <w:sz w:val="22"/>
        </w:rPr>
        <w:t>: arancel temporal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Externalidades positivas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Política comercial estratégica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Sectores estratégicos</w:t>
      </w:r>
      <w:r>
        <w:rPr>
          <w:rFonts w:ascii="Cambria" w:hAnsi="Cambria" w:cs="Cambria" w:eastAsia="Cambria"/>
          <w:sz w:val="22"/>
        </w:rPr>
        <w:t>: defensa, energía, telecomunicaciones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Comercio no equitativo</w:t>
      </w:r>
      <w:r>
        <w:rPr>
          <w:rFonts w:ascii="Cambria" w:hAnsi="Cambria" w:cs="Cambria" w:eastAsia="Cambria"/>
          <w:sz w:val="22"/>
        </w:rPr>
        <w:t>: dumping social y medioambiental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Regionalismo junto con bilateralismo y proteccionismo arancelario abierto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Riesgo para el </w:t>
      </w:r>
      <w:r>
        <w:rPr>
          <w:rFonts w:ascii="Cambria" w:hAnsi="Cambria" w:cs="Cambria" w:eastAsia="Cambria"/>
          <w:b/>
          <w:sz w:val="22"/>
        </w:rPr>
        <w:t>multilateralismo</w:t>
      </w:r>
      <w:r>
        <w:rPr>
          <w:rFonts w:ascii="Cambria" w:hAnsi="Cambria" w:cs="Cambria" w:eastAsia="Cambria"/>
          <w:sz w:val="22"/>
        </w:rPr>
        <w:t xml:space="preserve"> del GATT y la OMC (</w:t>
      </w:r>
      <w:r>
        <w:rPr>
          <w:rFonts w:ascii="Cambria" w:hAnsi="Cambria" w:cs="Cambria" w:eastAsia="Cambria"/>
          <w:b/>
          <w:sz w:val="22"/>
        </w:rPr>
        <w:t>Yaundé</w:t>
      </w:r>
      <w:r>
        <w:rPr>
          <w:rFonts w:ascii="Cambria" w:hAnsi="Cambria" w:cs="Cambria" w:eastAsia="Cambria"/>
          <w:sz w:val="22"/>
        </w:rPr>
        <w:t xml:space="preserve"> 2026)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UE-MERCOSUR</w:t>
      </w:r>
      <w:r>
        <w:rPr>
          <w:rFonts w:ascii="Cambria" w:hAnsi="Cambria" w:cs="Cambria" w:eastAsia="Cambria"/>
          <w:sz w:val="22"/>
        </w:rPr>
        <w:t>: vigencia definitiva sujeta al TJUE y a ratificaciones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T-MEC</w:t>
      </w:r>
      <w:r>
        <w:rPr>
          <w:rFonts w:ascii="Cambria" w:hAnsi="Cambria" w:cs="Cambria" w:eastAsia="Cambria"/>
          <w:sz w:val="22"/>
        </w:rPr>
        <w:t>: revisión de julio de 2026 sin prórroga, marco vigente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Futuro dependiente de que bloques y </w:t>
      </w:r>
      <w:r>
        <w:rPr>
          <w:rFonts w:ascii="Cambria" w:hAnsi="Cambria" w:cs="Cambria" w:eastAsia="Cambria"/>
          <w:b/>
          <w:sz w:val="22"/>
        </w:rPr>
        <w:t>OMC</w:t>
      </w:r>
      <w:r>
        <w:rPr>
          <w:rFonts w:ascii="Cambria" w:hAnsi="Cambria" w:cs="Cambria" w:eastAsia="Cambria"/>
          <w:sz w:val="22"/>
        </w:rPr>
        <w:t xml:space="preserve"> preserven el marco multilateral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 – El comercio internacional. Marco general y principales magnitudes.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 – El comercio internacional. Marco general y principales magnitudes.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