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XXIV GATT</w:t>
      </w:r>
      <w:r>
        <w:rPr>
          <w:rFonts w:ascii="Cambria" w:hAnsi="Cambria" w:cs="Cambria" w:eastAsia="Cambria"/>
          <w:sz w:val="22"/>
        </w:rPr>
        <w:t>: excepción a la NMF para uniones aduaneras y zonas de libre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Unión aduanera</w:t>
      </w:r>
      <w:r>
        <w:rPr>
          <w:rFonts w:ascii="Cambria" w:hAnsi="Cambria" w:cs="Cambria" w:eastAsia="Cambria"/>
          <w:sz w:val="22"/>
        </w:rPr>
        <w:t xml:space="preserve">: un solo territorio aduanero, supresión de derechos internos, </w:t>
      </w:r>
      <w:r>
        <w:rPr>
          <w:rFonts w:ascii="Cambria" w:hAnsi="Cambria" w:cs="Cambria" w:eastAsia="Cambria"/>
          <w:b/>
          <w:sz w:val="22"/>
        </w:rPr>
        <w:t>arancel exterior común</w:t>
      </w:r>
      <w:r>
        <w:rPr>
          <w:rFonts w:ascii="Cambria" w:hAnsi="Cambria" w:cs="Cambria" w:eastAsia="Cambria"/>
          <w:sz w:val="22"/>
        </w:rPr>
        <w:t xml:space="preserve"> y política comercial común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Zona de libre comercio</w:t>
      </w:r>
      <w:r>
        <w:rPr>
          <w:rFonts w:ascii="Cambria" w:hAnsi="Cambria" w:cs="Cambria" w:eastAsia="Cambria"/>
          <w:sz w:val="22"/>
        </w:rPr>
        <w:t xml:space="preserve">: cada miembro conserva su arancel, de ahí las </w:t>
      </w:r>
      <w:r>
        <w:rPr>
          <w:rFonts w:ascii="Cambria" w:hAnsi="Cambria" w:cs="Cambria" w:eastAsia="Cambria"/>
          <w:b/>
          <w:sz w:val="22"/>
        </w:rPr>
        <w:t>normas de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Uniones aduaneras de la UE: </w:t>
      </w:r>
      <w:r>
        <w:rPr>
          <w:rFonts w:ascii="Cambria" w:hAnsi="Cambria" w:cs="Cambria" w:eastAsia="Cambria"/>
          <w:b/>
          <w:sz w:val="22"/>
        </w:rPr>
        <w:t>Turquía</w:t>
      </w:r>
      <w:r>
        <w:rPr>
          <w:rFonts w:ascii="Cambria" w:hAnsi="Cambria" w:cs="Cambria" w:eastAsia="Cambria"/>
          <w:sz w:val="22"/>
        </w:rPr>
        <w:t xml:space="preserve"> (Decisión 1/95), </w:t>
      </w:r>
      <w:r>
        <w:rPr>
          <w:rFonts w:ascii="Cambria" w:hAnsi="Cambria" w:cs="Cambria" w:eastAsia="Cambria"/>
          <w:b/>
          <w:sz w:val="22"/>
        </w:rPr>
        <w:t>Andorra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San Marino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LA POLÍTICA ADUANERA DE LA UNIÓN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28 TFUE</w:t>
      </w:r>
      <w:r>
        <w:rPr>
          <w:rFonts w:ascii="Cambria" w:hAnsi="Cambria" w:cs="Cambria" w:eastAsia="Cambria"/>
          <w:sz w:val="22"/>
        </w:rPr>
        <w:t>: unión aduanera sobre todo el comercio de mercancías, arancel común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31 TFUE</w:t>
      </w:r>
      <w:r>
        <w:rPr>
          <w:rFonts w:ascii="Cambria" w:hAnsi="Cambria" w:cs="Cambria" w:eastAsia="Cambria"/>
          <w:sz w:val="22"/>
        </w:rPr>
        <w:t>: el Consejo fija los derechos a propuesta de la Comisión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3.1 TFUE</w:t>
      </w:r>
      <w:r>
        <w:rPr>
          <w:rFonts w:ascii="Cambria" w:hAnsi="Cambria" w:cs="Cambria" w:eastAsia="Cambria"/>
          <w:sz w:val="22"/>
        </w:rPr>
        <w:t>: competencia exclusiva, igual que la política comercial común (art. 207)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elementos: régimen arancelario y aduanero común, política comercial común, libre circulación interior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Etapas de construcción de la unión aduanera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Unión arancelaria: </w:t>
      </w:r>
      <w:r>
        <w:rPr>
          <w:rFonts w:ascii="Cambria" w:hAnsi="Cambria" w:cs="Cambria" w:eastAsia="Cambria"/>
          <w:b/>
          <w:sz w:val="22"/>
        </w:rPr>
        <w:t>1 de julio de 1968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Armonización de la legislación (1968-1992): </w:t>
      </w:r>
      <w:r>
        <w:rPr>
          <w:rFonts w:ascii="Cambria" w:hAnsi="Cambria" w:cs="Cambria" w:eastAsia="Cambria"/>
          <w:b/>
          <w:sz w:val="22"/>
        </w:rPr>
        <w:t>DUA</w:t>
      </w:r>
      <w:r>
        <w:rPr>
          <w:rFonts w:ascii="Cambria" w:hAnsi="Cambria" w:cs="Cambria" w:eastAsia="Cambria"/>
          <w:sz w:val="22"/>
        </w:rPr>
        <w:t xml:space="preserve"> desde 1 de enero de 1988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Mercado único: </w:t>
      </w:r>
      <w:r>
        <w:rPr>
          <w:rFonts w:ascii="Cambria" w:hAnsi="Cambria" w:cs="Cambria" w:eastAsia="Cambria"/>
          <w:b/>
          <w:sz w:val="22"/>
        </w:rPr>
        <w:t>1 de enero de 1993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Codificación: Código Aduanero Comunitario (Reglamento 2913/92)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2024: </w:t>
      </w:r>
      <w:r>
        <w:rPr>
          <w:rFonts w:ascii="Cambria" w:hAnsi="Cambria" w:cs="Cambria" w:eastAsia="Cambria"/>
          <w:b/>
          <w:sz w:val="22"/>
        </w:rPr>
        <w:t>2.140 oficinas</w:t>
      </w:r>
      <w:r>
        <w:rPr>
          <w:rFonts w:ascii="Cambria" w:hAnsi="Cambria" w:cs="Cambria" w:eastAsia="Cambria"/>
          <w:sz w:val="22"/>
        </w:rPr>
        <w:t xml:space="preserve">, casi </w:t>
      </w:r>
      <w:r>
        <w:rPr>
          <w:rFonts w:ascii="Cambria" w:hAnsi="Cambria" w:cs="Cambria" w:eastAsia="Cambria"/>
          <w:b/>
          <w:sz w:val="22"/>
        </w:rPr>
        <w:t>27.000 M€</w:t>
      </w:r>
      <w:r>
        <w:rPr>
          <w:rFonts w:ascii="Cambria" w:hAnsi="Cambria" w:cs="Cambria" w:eastAsia="Cambria"/>
          <w:sz w:val="22"/>
        </w:rPr>
        <w:t xml:space="preserve"> recaudados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Los derechos de aduana como recurso propio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Recursos propios tradicionales, los Estados retienen </w:t>
      </w:r>
      <w:r>
        <w:rPr>
          <w:rFonts w:ascii="Cambria" w:hAnsi="Cambria" w:cs="Cambria" w:eastAsia="Cambria"/>
          <w:b/>
          <w:sz w:val="22"/>
        </w:rPr>
        <w:t>25 %</w:t>
      </w:r>
      <w:r>
        <w:rPr>
          <w:rFonts w:ascii="Cambria" w:hAnsi="Cambria" w:cs="Cambria" w:eastAsia="Cambria"/>
          <w:sz w:val="22"/>
        </w:rPr>
        <w:t xml:space="preserve"> (Decisión (UE, Euratom) </w:t>
      </w:r>
      <w:r>
        <w:rPr>
          <w:rFonts w:ascii="Cambria" w:hAnsi="Cambria" w:cs="Cambria" w:eastAsia="Cambria"/>
          <w:b/>
          <w:sz w:val="22"/>
        </w:rPr>
        <w:t>2020/2053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Efecto Rotterdam</w:t>
      </w:r>
      <w:r>
        <w:rPr>
          <w:rFonts w:ascii="Cambria" w:hAnsi="Cambria" w:cs="Cambria" w:eastAsia="Cambria"/>
          <w:sz w:val="22"/>
        </w:rPr>
        <w:t>: se recaudan donde se despacha, no donde se consume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EL CÓDIGO ADUANERO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Evolución normativa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Código Aduanero Comunitario (2913/92), Código Modernizado (450/2008) nunca plenamente aplicado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952/2013 (CAU)</w:t>
      </w:r>
      <w:r>
        <w:rPr>
          <w:rFonts w:ascii="Cambria" w:hAnsi="Cambria" w:cs="Cambria" w:eastAsia="Cambria"/>
          <w:sz w:val="22"/>
        </w:rPr>
        <w:t xml:space="preserve">: en vigor 30 de octubre de 2013, aplicable desde </w:t>
      </w:r>
      <w:r>
        <w:rPr>
          <w:rFonts w:ascii="Cambria" w:hAnsi="Cambria" w:cs="Cambria" w:eastAsia="Cambria"/>
          <w:b/>
          <w:sz w:val="22"/>
        </w:rPr>
        <w:t>1 de mayo de 2016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Desarrollo: </w:t>
      </w:r>
      <w:r>
        <w:rPr>
          <w:rFonts w:ascii="Cambria" w:hAnsi="Cambria" w:cs="Cambria" w:eastAsia="Cambria"/>
          <w:b/>
          <w:sz w:val="22"/>
        </w:rPr>
        <w:t>Reglamento Delegado 2015/2446</w:t>
      </w:r>
      <w:r>
        <w:rPr>
          <w:rFonts w:ascii="Cambria" w:hAnsi="Cambria" w:cs="Cambria" w:eastAsia="Cambria"/>
          <w:sz w:val="22"/>
        </w:rPr>
        <w:t xml:space="preserve"> (RD-CAU), </w:t>
      </w:r>
      <w:r>
        <w:rPr>
          <w:rFonts w:ascii="Cambria" w:hAnsi="Cambria" w:cs="Cambria" w:eastAsia="Cambria"/>
          <w:b/>
          <w:sz w:val="22"/>
        </w:rPr>
        <w:t>Reglamento de Ejecución 2015/2447</w:t>
      </w:r>
      <w:r>
        <w:rPr>
          <w:rFonts w:ascii="Cambria" w:hAnsi="Cambria" w:cs="Cambria" w:eastAsia="Cambria"/>
          <w:sz w:val="22"/>
        </w:rPr>
        <w:t xml:space="preserve"> (RE-CAU)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Transitorio informático (art. 278 CAU) hasta 31 de diciembre de 2025 (Reglamento 2019/632)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2022/2399</w:t>
      </w:r>
      <w:r>
        <w:rPr>
          <w:rFonts w:ascii="Cambria" w:hAnsi="Cambria" w:cs="Cambria" w:eastAsia="Cambria"/>
          <w:sz w:val="22"/>
        </w:rPr>
        <w:t>: Entorno de Ventanilla Única de la UE para las Aduanas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Principales novedades del Código Aduanero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Comunicaciones electrónicas, </w:t>
      </w:r>
      <w:r>
        <w:rPr>
          <w:rFonts w:ascii="Cambria" w:hAnsi="Cambria" w:cs="Cambria" w:eastAsia="Cambria"/>
          <w:b/>
          <w:sz w:val="22"/>
        </w:rPr>
        <w:t>Ventanilla Única Aduanera</w:t>
      </w:r>
      <w:r>
        <w:rPr>
          <w:rFonts w:ascii="Cambria" w:hAnsi="Cambria" w:cs="Cambria" w:eastAsia="Cambria"/>
          <w:sz w:val="22"/>
        </w:rPr>
        <w:t xml:space="preserve"> (incluye SOIVRE)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Despacho centralizado, garantías armonizadas, gestión común del riesgo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OEA-C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OEA-S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Depósito temporal</w:t>
      </w:r>
      <w:r>
        <w:rPr>
          <w:rFonts w:ascii="Cambria" w:hAnsi="Cambria" w:cs="Cambria" w:eastAsia="Cambria"/>
          <w:sz w:val="22"/>
        </w:rPr>
        <w:t xml:space="preserve">: situación, no régimen, </w:t>
      </w:r>
      <w:r>
        <w:rPr>
          <w:rFonts w:ascii="Cambria" w:hAnsi="Cambria" w:cs="Cambria" w:eastAsia="Cambria"/>
          <w:b/>
          <w:sz w:val="22"/>
        </w:rPr>
        <w:t>90 días</w:t>
      </w:r>
      <w:r>
        <w:rPr>
          <w:rFonts w:ascii="Cambria" w:hAnsi="Cambria" w:cs="Cambria" w:eastAsia="Cambria"/>
          <w:sz w:val="22"/>
        </w:rPr>
        <w:t>, con garantía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IAV</w:t>
      </w:r>
      <w:r>
        <w:rPr>
          <w:rFonts w:ascii="Cambria" w:hAnsi="Cambria" w:cs="Cambria" w:eastAsia="Cambria"/>
          <w:sz w:val="22"/>
        </w:rPr>
        <w:t xml:space="preserve">: vinculante para el titular, </w:t>
      </w:r>
      <w:r>
        <w:rPr>
          <w:rFonts w:ascii="Cambria" w:hAnsi="Cambria" w:cs="Cambria" w:eastAsia="Cambria"/>
          <w:b/>
          <w:sz w:val="22"/>
        </w:rPr>
        <w:t>3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regímenes: despacho a libre práctica, especiales, 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Regímenes especiales (art. 210 CAU)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Tránsito</w:t>
      </w:r>
      <w:r>
        <w:rPr>
          <w:rFonts w:ascii="Cambria" w:hAnsi="Cambria" w:cs="Cambria" w:eastAsia="Cambria"/>
          <w:sz w:val="22"/>
        </w:rPr>
        <w:t>, externo e interno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Depósito</w:t>
      </w:r>
      <w:r>
        <w:rPr>
          <w:rFonts w:ascii="Cambria" w:hAnsi="Cambria" w:cs="Cambria" w:eastAsia="Cambria"/>
          <w:sz w:val="22"/>
        </w:rPr>
        <w:t xml:space="preserve">: aduanero y zonas francas cercadas. España, </w:t>
      </w:r>
      <w:r>
        <w:rPr>
          <w:rFonts w:ascii="Cambria" w:hAnsi="Cambria" w:cs="Cambria" w:eastAsia="Cambria"/>
          <w:b/>
          <w:sz w:val="22"/>
        </w:rPr>
        <w:t>7 zonas francas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Destino especial</w:t>
      </w:r>
      <w:r>
        <w:rPr>
          <w:rFonts w:ascii="Cambria" w:hAnsi="Cambria" w:cs="Cambria" w:eastAsia="Cambria"/>
          <w:sz w:val="22"/>
        </w:rPr>
        <w:t>: importación temporal y destino final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Perfeccionamiento</w:t>
      </w:r>
      <w:r>
        <w:rPr>
          <w:rFonts w:ascii="Cambria" w:hAnsi="Cambria" w:cs="Cambria" w:eastAsia="Cambria"/>
          <w:sz w:val="22"/>
        </w:rPr>
        <w:t xml:space="preserve"> activo y pasivo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Estructura del Código Aduanero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288 artículos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9 títulos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</w:t>
      </w:r>
      <w:r>
        <w:rPr>
          <w:rFonts w:ascii="Cambria" w:hAnsi="Cambria" w:cs="Cambria" w:eastAsia="Cambria"/>
          <w:sz w:val="22"/>
        </w:rPr>
        <w:t xml:space="preserve"> Disposiciones generales, territorio aduanero (art. 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Canarias</w:t>
      </w:r>
      <w:r>
        <w:rPr>
          <w:rFonts w:ascii="Cambria" w:hAnsi="Cambria" w:cs="Cambria" w:eastAsia="Cambria"/>
          <w:sz w:val="22"/>
        </w:rPr>
        <w:t xml:space="preserve"> dentro, </w:t>
      </w:r>
      <w:r>
        <w:rPr>
          <w:rFonts w:ascii="Cambria" w:hAnsi="Cambria" w:cs="Cambria" w:eastAsia="Cambria"/>
          <w:b/>
          <w:sz w:val="22"/>
        </w:rPr>
        <w:t>Ceuta y Melilla</w:t>
      </w:r>
      <w:r>
        <w:rPr>
          <w:rFonts w:ascii="Cambria" w:hAnsi="Cambria" w:cs="Cambria" w:eastAsia="Cambria"/>
          <w:sz w:val="22"/>
        </w:rPr>
        <w:t xml:space="preserve"> fuera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Fuera: Heligoland, Büsingen, Livigno, Campione d'Italia, Feroe, Groenlandia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Dentro: Mónaco, Akrotiri y Dhekelia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II</w:t>
      </w:r>
      <w:r>
        <w:rPr>
          <w:rFonts w:ascii="Cambria" w:hAnsi="Cambria" w:cs="Cambria" w:eastAsia="Cambria"/>
          <w:sz w:val="22"/>
        </w:rPr>
        <w:t xml:space="preserve"> Arancel, origen, valor, decisiones vinculantes (IAV, IVO)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III</w:t>
      </w:r>
      <w:r>
        <w:rPr>
          <w:rFonts w:ascii="Cambria" w:hAnsi="Cambria" w:cs="Cambria" w:eastAsia="Cambria"/>
          <w:sz w:val="22"/>
        </w:rPr>
        <w:t xml:space="preserve"> Deuda aduanera y garantías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IV</w:t>
      </w:r>
      <w:r>
        <w:rPr>
          <w:rFonts w:ascii="Cambria" w:hAnsi="Cambria" w:cs="Cambria" w:eastAsia="Cambria"/>
          <w:sz w:val="22"/>
        </w:rPr>
        <w:t xml:space="preserve"> Introducción de mercancías, declaración sumaria (</w:t>
      </w:r>
      <w:r>
        <w:rPr>
          <w:rFonts w:ascii="Cambria" w:hAnsi="Cambria" w:cs="Cambria" w:eastAsia="Cambria"/>
          <w:b/>
          <w:sz w:val="22"/>
        </w:rPr>
        <w:t>ICS2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</w:t>
      </w:r>
      <w:r>
        <w:rPr>
          <w:rFonts w:ascii="Cambria" w:hAnsi="Cambria" w:cs="Cambria" w:eastAsia="Cambria"/>
          <w:sz w:val="22"/>
        </w:rPr>
        <w:t xml:space="preserve"> Estatuto aduanero, levante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</w:t>
      </w:r>
      <w:r>
        <w:rPr>
          <w:rFonts w:ascii="Cambria" w:hAnsi="Cambria" w:cs="Cambria" w:eastAsia="Cambria"/>
          <w:sz w:val="22"/>
        </w:rPr>
        <w:t xml:space="preserve"> Libre práctica y exenciones: mercancías de retorno (</w:t>
      </w:r>
      <w:r>
        <w:rPr>
          <w:rFonts w:ascii="Cambria" w:hAnsi="Cambria" w:cs="Cambria" w:eastAsia="Cambria"/>
          <w:b/>
          <w:sz w:val="22"/>
        </w:rPr>
        <w:t>3 años</w:t>
      </w:r>
      <w:r>
        <w:rPr>
          <w:rFonts w:ascii="Cambria" w:hAnsi="Cambria" w:cs="Cambria" w:eastAsia="Cambria"/>
          <w:sz w:val="22"/>
        </w:rPr>
        <w:t>), productos de la pesca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VII</w:t>
      </w:r>
      <w:r>
        <w:rPr>
          <w:rFonts w:ascii="Cambria" w:hAnsi="Cambria" w:cs="Cambria" w:eastAsia="Cambria"/>
          <w:sz w:val="22"/>
        </w:rPr>
        <w:t xml:space="preserve"> Regímenes especiales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Importación temporal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Perfeccionamiento activo</w:t>
      </w:r>
      <w:r>
        <w:rPr>
          <w:rFonts w:ascii="Cambria" w:hAnsi="Cambria" w:cs="Cambria" w:eastAsia="Cambria"/>
          <w:sz w:val="22"/>
        </w:rPr>
        <w:t>: suspensión de derechos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Perfeccionamiento pasivo</w:t>
      </w:r>
      <w:r>
        <w:rPr>
          <w:rFonts w:ascii="Cambria" w:hAnsi="Cambria" w:cs="Cambria" w:eastAsia="Cambria"/>
          <w:sz w:val="22"/>
        </w:rPr>
        <w:t>: típico en textil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VIII</w:t>
      </w:r>
      <w:r>
        <w:rPr>
          <w:rFonts w:ascii="Cambria" w:hAnsi="Cambria" w:cs="Cambria" w:eastAsia="Cambria"/>
          <w:sz w:val="22"/>
        </w:rPr>
        <w:t xml:space="preserve"> Salida: exportación y reexportación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IX</w:t>
      </w:r>
      <w:r>
        <w:rPr>
          <w:rFonts w:ascii="Cambria" w:hAnsi="Cambria" w:cs="Cambria" w:eastAsia="Cambria"/>
          <w:sz w:val="22"/>
        </w:rPr>
        <w:t xml:space="preserve"> Sistemas electrónicos, delegación, finales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La reforma aduanera de 2026: el nuevo Código Aduanero de la Unión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Propuesta de mayo de 2023, mayor reforma desde 1968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2026/2108</w:t>
      </w:r>
      <w:r>
        <w:rPr>
          <w:rFonts w:ascii="Cambria" w:hAnsi="Cambria" w:cs="Cambria" w:eastAsia="Cambria"/>
          <w:sz w:val="22"/>
        </w:rPr>
        <w:t xml:space="preserve">, de 16 de septiembre de 2026, en vigor </w:t>
      </w:r>
      <w:r>
        <w:rPr>
          <w:rFonts w:ascii="Cambria" w:hAnsi="Cambria" w:cs="Cambria" w:eastAsia="Cambria"/>
          <w:b/>
          <w:sz w:val="22"/>
        </w:rPr>
        <w:t>20 de septiembre de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Dos Códigos a la vez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952/2013</w:t>
      </w:r>
      <w:r>
        <w:rPr>
          <w:rFonts w:ascii="Cambria" w:hAnsi="Cambria" w:cs="Cambria" w:eastAsia="Cambria"/>
          <w:sz w:val="22"/>
        </w:rPr>
        <w:t xml:space="preserve">: sigue siendo la norma aplicable, derogado el </w:t>
      </w:r>
      <w:r>
        <w:rPr>
          <w:rFonts w:ascii="Cambria" w:hAnsi="Cambria" w:cs="Cambria" w:eastAsia="Cambria"/>
          <w:b/>
          <w:sz w:val="22"/>
        </w:rPr>
        <w:t>21 de septiembre de 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2026/2108</w:t>
      </w:r>
      <w:r>
        <w:rPr>
          <w:rFonts w:ascii="Cambria" w:hAnsi="Cambria" w:cs="Cambria" w:eastAsia="Cambria"/>
          <w:sz w:val="22"/>
        </w:rPr>
        <w:t xml:space="preserve">: hoy solo la Autoridad y la tasa de pequeños envíos, aplicación general desde </w:t>
      </w:r>
      <w:r>
        <w:rPr>
          <w:rFonts w:ascii="Cambria" w:hAnsi="Cambria" w:cs="Cambria" w:eastAsia="Cambria"/>
          <w:b/>
          <w:sz w:val="22"/>
        </w:rPr>
        <w:t>21 de septiembre de 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Actos 2015/2446 y 2015/2447 siguen hasta nuevos actos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Implantación progresiva: declaración tradicional hasta </w:t>
      </w:r>
      <w:r>
        <w:rPr>
          <w:rFonts w:ascii="Cambria" w:hAnsi="Cambria" w:cs="Cambria" w:eastAsia="Cambria"/>
          <w:b/>
          <w:sz w:val="22"/>
        </w:rPr>
        <w:t>30 de junio de 2028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Autoridad Aduanera de la UE (EUCA)</w:t>
      </w:r>
      <w:r>
        <w:rPr>
          <w:rFonts w:ascii="Cambria" w:hAnsi="Cambria" w:cs="Cambria" w:eastAsia="Cambria"/>
          <w:sz w:val="22"/>
        </w:rPr>
        <w:t xml:space="preserve">, sede en </w:t>
      </w:r>
      <w:r>
        <w:rPr>
          <w:rFonts w:ascii="Cambria" w:hAnsi="Cambria" w:cs="Cambria" w:eastAsia="Cambria"/>
          <w:b/>
          <w:sz w:val="22"/>
        </w:rPr>
        <w:t>Lille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 de Datos Aduaneros</w:t>
      </w:r>
      <w:r>
        <w:rPr>
          <w:rFonts w:ascii="Cambria" w:hAnsi="Cambria" w:cs="Cambria" w:eastAsia="Cambria"/>
          <w:sz w:val="22"/>
        </w:rPr>
        <w:t xml:space="preserve">: obligatorio para comercio electrónico desde </w:t>
      </w:r>
      <w:r>
        <w:rPr>
          <w:rFonts w:ascii="Cambria" w:hAnsi="Cambria" w:cs="Cambria" w:eastAsia="Cambria"/>
          <w:b/>
          <w:sz w:val="22"/>
        </w:rPr>
        <w:t>1 de julio de 2028</w:t>
      </w:r>
      <w:r>
        <w:rPr>
          <w:rFonts w:ascii="Cambria" w:hAnsi="Cambria" w:cs="Cambria" w:eastAsia="Cambria"/>
          <w:sz w:val="22"/>
        </w:rPr>
        <w:t xml:space="preserve">, para todos en </w:t>
      </w:r>
      <w:r>
        <w:rPr>
          <w:rFonts w:ascii="Cambria" w:hAnsi="Cambria" w:cs="Cambria" w:eastAsia="Cambria"/>
          <w:b/>
          <w:sz w:val="22"/>
        </w:rPr>
        <w:t>2034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Comercio electrónico</w:t>
      </w:r>
      <w:r>
        <w:rPr>
          <w:rFonts w:ascii="Cambria" w:hAnsi="Cambria" w:cs="Cambria" w:eastAsia="Cambria"/>
          <w:sz w:val="22"/>
        </w:rPr>
        <w:t>: vendedores y plataformas como importadores, tasa por envío desde 1 de noviembre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Operadores </w:t>
      </w:r>
      <w:r>
        <w:rPr>
          <w:rFonts w:ascii="Cambria" w:hAnsi="Cambria" w:cs="Cambria" w:eastAsia="Cambria"/>
          <w:b/>
          <w:sz w:val="22"/>
        </w:rPr>
        <w:t>«Trust &amp; Check»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Responsabilidad de importador y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Infracciones y sanciones comunes desde 2027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2026/382</w:t>
      </w:r>
      <w:r>
        <w:rPr>
          <w:rFonts w:ascii="Cambria" w:hAnsi="Cambria" w:cs="Cambria" w:eastAsia="Cambria"/>
          <w:sz w:val="22"/>
        </w:rPr>
        <w:t xml:space="preserve">: fin de la franquicia de </w:t>
      </w:r>
      <w:r>
        <w:rPr>
          <w:rFonts w:ascii="Cambria" w:hAnsi="Cambria" w:cs="Cambria" w:eastAsia="Cambria"/>
          <w:b/>
          <w:sz w:val="22"/>
        </w:rPr>
        <w:t>150 €</w:t>
      </w:r>
      <w:r>
        <w:rPr>
          <w:rFonts w:ascii="Cambria" w:hAnsi="Cambria" w:cs="Cambria" w:eastAsia="Cambria"/>
          <w:sz w:val="22"/>
        </w:rPr>
        <w:t xml:space="preserve">, derecho fijo de </w:t>
      </w:r>
      <w:r>
        <w:rPr>
          <w:rFonts w:ascii="Cambria" w:hAnsi="Cambria" w:cs="Cambria" w:eastAsia="Cambria"/>
          <w:b/>
          <w:sz w:val="22"/>
        </w:rPr>
        <w:t>3 € por artículo</w:t>
      </w:r>
      <w:r>
        <w:rPr>
          <w:rFonts w:ascii="Cambria" w:hAnsi="Cambria" w:cs="Cambria" w:eastAsia="Cambria"/>
          <w:sz w:val="22"/>
        </w:rPr>
        <w:t xml:space="preserve"> (1 de julio de 2026 a 1 de julio de 2028)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ARANCEL DE ADUANAS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Protege la producción y da ingresos. Componentes: </w:t>
      </w:r>
      <w:r>
        <w:rPr>
          <w:rFonts w:ascii="Cambria" w:hAnsi="Cambria" w:cs="Cambria" w:eastAsia="Cambria"/>
          <w:b/>
          <w:sz w:val="22"/>
        </w:rPr>
        <w:t>nomenclatura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tarifa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La nomenclatura arancelaria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Precedentes: Ginebra 1937, Bruselas 1950 (NCCA), </w:t>
      </w:r>
      <w:r>
        <w:rPr>
          <w:rFonts w:ascii="Cambria" w:hAnsi="Cambria" w:cs="Cambria" w:eastAsia="Cambria"/>
          <w:b/>
          <w:sz w:val="22"/>
        </w:rPr>
        <w:t>CUCI</w:t>
      </w:r>
      <w:r>
        <w:rPr>
          <w:rFonts w:ascii="Cambria" w:hAnsi="Cambria" w:cs="Cambria" w:eastAsia="Cambria"/>
          <w:sz w:val="22"/>
        </w:rPr>
        <w:t xml:space="preserve"> (estadística, revisión 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 Armonizado (SA)</w:t>
      </w:r>
      <w:r>
        <w:rPr>
          <w:rFonts w:ascii="Cambria" w:hAnsi="Cambria" w:cs="Cambria" w:eastAsia="Cambria"/>
          <w:sz w:val="22"/>
        </w:rPr>
        <w:t xml:space="preserve"> de la OMA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Convenio de </w:t>
      </w:r>
      <w:r>
        <w:rPr>
          <w:rFonts w:ascii="Cambria" w:hAnsi="Cambria" w:cs="Cambria" w:eastAsia="Cambria"/>
          <w:b/>
          <w:sz w:val="22"/>
        </w:rPr>
        <w:t>14 de junio de 1983</w:t>
      </w:r>
      <w:r>
        <w:rPr>
          <w:rFonts w:ascii="Cambria" w:hAnsi="Cambria" w:cs="Cambria" w:eastAsia="Cambria"/>
          <w:sz w:val="22"/>
        </w:rPr>
        <w:t xml:space="preserve">, en vigor </w:t>
      </w:r>
      <w:r>
        <w:rPr>
          <w:rFonts w:ascii="Cambria" w:hAnsi="Cambria" w:cs="Cambria" w:eastAsia="Cambria"/>
          <w:b/>
          <w:sz w:val="22"/>
        </w:rPr>
        <w:t>1 de enero de 1988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21 secciones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97 capítulos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2022: </w:t>
      </w:r>
      <w:r>
        <w:rPr>
          <w:rFonts w:ascii="Cambria" w:hAnsi="Cambria" w:cs="Cambria" w:eastAsia="Cambria"/>
          <w:b/>
          <w:sz w:val="22"/>
        </w:rPr>
        <w:t>1.228 partidas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5.612 subpartidas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Reglas Generales Interpretativas, notas legales, Notas Explicativas (no vinculantes)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 2028</w:t>
      </w:r>
      <w:r>
        <w:rPr>
          <w:rFonts w:ascii="Cambria" w:hAnsi="Cambria" w:cs="Cambria" w:eastAsia="Cambria"/>
          <w:sz w:val="22"/>
        </w:rPr>
        <w:t xml:space="preserve">: en vigor 1 de enero de 2028, </w:t>
      </w:r>
      <w:r>
        <w:rPr>
          <w:rFonts w:ascii="Cambria" w:hAnsi="Cambria" w:cs="Cambria" w:eastAsia="Cambria"/>
          <w:b/>
          <w:sz w:val="22"/>
        </w:rPr>
        <w:t>1.229 partidas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5.852 subpartidas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La Nomenclatura Combinada y el Arancel Aduanero Común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(CEE) 2658/87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NC</w:t>
      </w:r>
      <w:r>
        <w:rPr>
          <w:rFonts w:ascii="Cambria" w:hAnsi="Cambria" w:cs="Cambria" w:eastAsia="Cambria"/>
          <w:sz w:val="22"/>
        </w:rPr>
        <w:t>, integra clasificación arancelaria y estadística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8 dígitos</w:t>
      </w:r>
      <w:r>
        <w:rPr>
          <w:rFonts w:ascii="Cambria" w:hAnsi="Cambria" w:cs="Cambria" w:eastAsia="Cambria"/>
          <w:sz w:val="22"/>
        </w:rPr>
        <w:t>: 6 del SA más 2 propios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Anexo I anual, publicado antes del 31 de octubre. Para 2026: </w:t>
      </w:r>
      <w:r>
        <w:rPr>
          <w:rFonts w:ascii="Cambria" w:hAnsi="Cambria" w:cs="Cambria" w:eastAsia="Cambria"/>
          <w:b/>
          <w:sz w:val="22"/>
        </w:rPr>
        <w:t>Reglamento de Ejecución 2025/1926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AAC</w:t>
      </w:r>
      <w:r>
        <w:rPr>
          <w:rFonts w:ascii="Cambria" w:hAnsi="Cambria" w:cs="Cambria" w:eastAsia="Cambria"/>
          <w:sz w:val="22"/>
        </w:rPr>
        <w:t>: desde 1 de julio de 1968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Derechos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Convencionales</w:t>
      </w:r>
      <w:r>
        <w:rPr>
          <w:rFonts w:ascii="Cambria" w:hAnsi="Cambria" w:cs="Cambria" w:eastAsia="Cambria"/>
          <w:sz w:val="22"/>
        </w:rPr>
        <w:t>: NMF consolidados en la OMC (art. XXVIII GATT)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Autónomos</w:t>
      </w:r>
      <w:r>
        <w:rPr>
          <w:rFonts w:ascii="Cambria" w:hAnsi="Cambria" w:cs="Cambria" w:eastAsia="Cambria"/>
          <w:sz w:val="22"/>
        </w:rPr>
        <w:t>: fijados unilateralmente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Mayoría ad valorem, media NMF en torno al </w:t>
      </w:r>
      <w:r>
        <w:rPr>
          <w:rFonts w:ascii="Cambria" w:hAnsi="Cambria" w:cs="Cambria" w:eastAsia="Cambria"/>
          <w:b/>
          <w:sz w:val="22"/>
        </w:rPr>
        <w:t>5 %</w:t>
      </w:r>
      <w:r>
        <w:rPr>
          <w:rFonts w:ascii="Cambria" w:hAnsi="Cambria" w:cs="Cambria" w:eastAsia="Cambria"/>
          <w:sz w:val="22"/>
        </w:rPr>
        <w:t>, más altos en agro, textil, calzado, turismos (</w:t>
      </w:r>
      <w:r>
        <w:rPr>
          <w:rFonts w:ascii="Cambria" w:hAnsi="Cambria" w:cs="Cambria" w:eastAsia="Cambria"/>
          <w:b/>
          <w:sz w:val="22"/>
        </w:rPr>
        <w:t>10 %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El Arancel Integrado de la Unión Europea (TARIC)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Integra acuerdos, </w:t>
      </w:r>
      <w:r>
        <w:rPr>
          <w:rFonts w:ascii="Cambria" w:hAnsi="Cambria" w:cs="Cambria" w:eastAsia="Cambria"/>
          <w:b/>
          <w:sz w:val="22"/>
        </w:rPr>
        <w:t>SPG</w:t>
      </w:r>
      <w:r>
        <w:rPr>
          <w:rFonts w:ascii="Cambria" w:hAnsi="Cambria" w:cs="Cambria" w:eastAsia="Cambria"/>
          <w:sz w:val="22"/>
        </w:rPr>
        <w:t>, suspensiones, contingentes, vigilancia, antidumping, compensatorios, salvaguardias, prohibiciones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Art. 2 del Reglamento 2658/87, base de datos diaria, no se publica en el DOUE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Codificación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1-6 SA, 7-8 NC, 9-10 subpartida TARIC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11-14 y 15-18 códigos adicionales TARIC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19-22 código adicional nacional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La tarifa arancelaria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 valorem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específicos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mixtos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compuestos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Tanto alzado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2,5 %</w:t>
      </w:r>
      <w:r>
        <w:rPr>
          <w:rFonts w:ascii="Cambria" w:hAnsi="Cambria" w:cs="Cambria" w:eastAsia="Cambria"/>
          <w:sz w:val="22"/>
        </w:rPr>
        <w:t xml:space="preserve">, hasta </w:t>
      </w:r>
      <w:r>
        <w:rPr>
          <w:rFonts w:ascii="Cambria" w:hAnsi="Cambria" w:cs="Cambria" w:eastAsia="Cambria"/>
          <w:b/>
          <w:sz w:val="22"/>
        </w:rPr>
        <w:t>700 €</w:t>
      </w:r>
      <w:r>
        <w:rPr>
          <w:rFonts w:ascii="Cambria" w:hAnsi="Cambria" w:cs="Cambria" w:eastAsia="Cambria"/>
          <w:sz w:val="22"/>
        </w:rPr>
        <w:t xml:space="preserve"> (Reglamento (CE) 275/2008)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Derecho fijo por artículo</w:t>
      </w:r>
      <w:r>
        <w:rPr>
          <w:rFonts w:ascii="Cambria" w:hAnsi="Cambria" w:cs="Cambria" w:eastAsia="Cambria"/>
          <w:sz w:val="22"/>
        </w:rPr>
        <w:t>: 3 € transitorio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LA ECONOMÍA ARANCELARIA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Técnicas de flexibilización de la protección, permanentes o temporales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Técnicas de flexibilización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Franquicias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(CE) 1186/2009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Equipaje (Directiva 2007/74/CE: </w:t>
      </w:r>
      <w:r>
        <w:rPr>
          <w:rFonts w:ascii="Cambria" w:hAnsi="Cambria" w:cs="Cambria" w:eastAsia="Cambria"/>
          <w:b/>
          <w:sz w:val="22"/>
        </w:rPr>
        <w:t>430 €</w:t>
      </w:r>
      <w:r>
        <w:rPr>
          <w:rFonts w:ascii="Cambria" w:hAnsi="Cambria" w:cs="Cambria" w:eastAsia="Cambria"/>
          <w:sz w:val="22"/>
        </w:rPr>
        <w:t xml:space="preserve"> aéreo y marítimo, </w:t>
      </w:r>
      <w:r>
        <w:rPr>
          <w:rFonts w:ascii="Cambria" w:hAnsi="Cambria" w:cs="Cambria" w:eastAsia="Cambria"/>
          <w:b/>
          <w:sz w:val="22"/>
        </w:rPr>
        <w:t>300 €</w:t>
      </w:r>
      <w:r>
        <w:rPr>
          <w:rFonts w:ascii="Cambria" w:hAnsi="Cambria" w:cs="Cambria" w:eastAsia="Cambria"/>
          <w:sz w:val="22"/>
        </w:rPr>
        <w:t xml:space="preserve"> terrestre), envíos entre particulares hasta </w:t>
      </w:r>
      <w:r>
        <w:rPr>
          <w:rFonts w:ascii="Cambria" w:hAnsi="Cambria" w:cs="Cambria" w:eastAsia="Cambria"/>
          <w:b/>
          <w:sz w:val="22"/>
        </w:rPr>
        <w:t>45 €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Destino final</w:t>
      </w:r>
      <w:r>
        <w:rPr>
          <w:rFonts w:ascii="Cambria" w:hAnsi="Cambria" w:cs="Cambria" w:eastAsia="Cambria"/>
          <w:sz w:val="22"/>
        </w:rPr>
        <w:t>: derecho reducido o nulo (art. 254 CAU), con autorización y garantía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Suspensiones</w:t>
      </w:r>
      <w:r>
        <w:rPr>
          <w:rFonts w:ascii="Cambria" w:hAnsi="Cambria" w:cs="Cambria" w:eastAsia="Cambria"/>
          <w:sz w:val="22"/>
        </w:rPr>
        <w:t>: temporales, sin límite de cantidad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Autónomas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2021/2278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Convencionales</w:t>
      </w:r>
      <w:r>
        <w:rPr>
          <w:rFonts w:ascii="Cambria" w:hAnsi="Cambria" w:cs="Cambria" w:eastAsia="Cambria"/>
          <w:sz w:val="22"/>
        </w:rPr>
        <w:t>: solo originarios de signatarios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Contingentes arancelarios</w:t>
      </w:r>
      <w:r>
        <w:rPr>
          <w:rFonts w:ascii="Cambria" w:hAnsi="Cambria" w:cs="Cambria" w:eastAsia="Cambria"/>
          <w:sz w:val="22"/>
        </w:rPr>
        <w:t>: volumen limitado (</w:t>
      </w:r>
      <w:r>
        <w:rPr>
          <w:rFonts w:ascii="Cambria" w:hAnsi="Cambria" w:cs="Cambria" w:eastAsia="Cambria"/>
          <w:b/>
          <w:sz w:val="22"/>
        </w:rPr>
        <w:t>Reglamento 2021/2283</w:t>
      </w:r>
      <w:r>
        <w:rPr>
          <w:rFonts w:ascii="Cambria" w:hAnsi="Cambria" w:cs="Cambria" w:eastAsia="Cambria"/>
          <w:sz w:val="22"/>
        </w:rPr>
        <w:t>). Distintos de los cuantitativos (prohibidos por art. XI GATT)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Límites máximos arancelarios</w:t>
      </w:r>
      <w:r>
        <w:rPr>
          <w:rFonts w:ascii="Cambria" w:hAnsi="Cambria" w:cs="Cambria" w:eastAsia="Cambria"/>
          <w:sz w:val="22"/>
        </w:rPr>
        <w:t>: residuales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SPG</w:t>
      </w:r>
      <w:r>
        <w:rPr>
          <w:rFonts w:ascii="Cambria" w:hAnsi="Cambria" w:cs="Cambria" w:eastAsia="Cambria"/>
          <w:sz w:val="22"/>
        </w:rPr>
        <w:t xml:space="preserve">: estándar, </w:t>
      </w:r>
      <w:r>
        <w:rPr>
          <w:rFonts w:ascii="Cambria" w:hAnsi="Cambria" w:cs="Cambria" w:eastAsia="Cambria"/>
          <w:b/>
          <w:sz w:val="22"/>
        </w:rPr>
        <w:t>SPG+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TMA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978/2012</w:t>
      </w:r>
      <w:r>
        <w:rPr>
          <w:rFonts w:ascii="Cambria" w:hAnsi="Cambria" w:cs="Cambria" w:eastAsia="Cambria"/>
          <w:sz w:val="22"/>
        </w:rPr>
        <w:t>: hasta 31 de diciembre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2026/1395</w:t>
      </w:r>
      <w:r>
        <w:rPr>
          <w:rFonts w:ascii="Cambria" w:hAnsi="Cambria" w:cs="Cambria" w:eastAsia="Cambria"/>
          <w:sz w:val="22"/>
        </w:rPr>
        <w:t>: desde 1 de enero de 2027, más condicionalidad, salvaguardia del arroz, readmisión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Instrumentos de defensa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 son retorsión: </w:t>
      </w:r>
      <w:r>
        <w:rPr>
          <w:rFonts w:ascii="Cambria" w:hAnsi="Cambria" w:cs="Cambria" w:eastAsia="Cambria"/>
          <w:b/>
          <w:sz w:val="22"/>
        </w:rPr>
        <w:t>Reglamento 654/2014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Instrumento Anticoerción (2023/2675)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Antidumping</w:t>
      </w:r>
      <w:r>
        <w:rPr>
          <w:rFonts w:ascii="Cambria" w:hAnsi="Cambria" w:cs="Cambria" w:eastAsia="Cambria"/>
          <w:sz w:val="22"/>
        </w:rPr>
        <w:t xml:space="preserve">: art. VI GATT, </w:t>
      </w:r>
      <w:r>
        <w:rPr>
          <w:rFonts w:ascii="Cambria" w:hAnsi="Cambria" w:cs="Cambria" w:eastAsia="Cambria"/>
          <w:b/>
          <w:sz w:val="22"/>
        </w:rPr>
        <w:t>Reglamento 2016/1036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Dumping, perjuicio, causalidad, interés de la Unión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Denuncia con al menos </w:t>
      </w:r>
      <w:r>
        <w:rPr>
          <w:rFonts w:ascii="Cambria" w:hAnsi="Cambria" w:cs="Cambria" w:eastAsia="Cambria"/>
          <w:b/>
          <w:sz w:val="22"/>
        </w:rPr>
        <w:t>25 %</w:t>
      </w:r>
      <w:r>
        <w:rPr>
          <w:rFonts w:ascii="Cambria" w:hAnsi="Cambria" w:cs="Cambria" w:eastAsia="Cambria"/>
          <w:sz w:val="22"/>
        </w:rPr>
        <w:t xml:space="preserve"> de la producción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Provisionales a partir de </w:t>
      </w:r>
      <w:r>
        <w:rPr>
          <w:rFonts w:ascii="Cambria" w:hAnsi="Cambria" w:cs="Cambria" w:eastAsia="Cambria"/>
          <w:b/>
          <w:sz w:val="22"/>
        </w:rPr>
        <w:t>60 días</w:t>
      </w:r>
      <w:r>
        <w:rPr>
          <w:rFonts w:ascii="Cambria" w:hAnsi="Cambria" w:cs="Cambria" w:eastAsia="Cambria"/>
          <w:sz w:val="22"/>
        </w:rPr>
        <w:t xml:space="preserve">, definitivos en </w:t>
      </w:r>
      <w:r>
        <w:rPr>
          <w:rFonts w:ascii="Cambria" w:hAnsi="Cambria" w:cs="Cambria" w:eastAsia="Cambria"/>
          <w:b/>
          <w:sz w:val="22"/>
        </w:rPr>
        <w:t>14 meses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5 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Compensatorios</w:t>
      </w:r>
      <w:r>
        <w:rPr>
          <w:rFonts w:ascii="Cambria" w:hAnsi="Cambria" w:cs="Cambria" w:eastAsia="Cambria"/>
          <w:sz w:val="22"/>
        </w:rPr>
        <w:t xml:space="preserve">: art. XVI GATT, </w:t>
      </w:r>
      <w:r>
        <w:rPr>
          <w:rFonts w:ascii="Cambria" w:hAnsi="Cambria" w:cs="Cambria" w:eastAsia="Cambria"/>
          <w:b/>
          <w:sz w:val="22"/>
        </w:rPr>
        <w:t>Reglamento 2016/1037</w:t>
      </w:r>
      <w:r>
        <w:rPr>
          <w:rFonts w:ascii="Cambria" w:hAnsi="Cambria" w:cs="Cambria" w:eastAsia="Cambria"/>
          <w:sz w:val="22"/>
        </w:rPr>
        <w:t xml:space="preserve"> (vehículos eléctricos de China, Reglamento 2024/2754)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Salvaguardia</w:t>
      </w:r>
      <w:r>
        <w:rPr>
          <w:rFonts w:ascii="Cambria" w:hAnsi="Cambria" w:cs="Cambria" w:eastAsia="Cambria"/>
          <w:sz w:val="22"/>
        </w:rPr>
        <w:t xml:space="preserve">: art. XIX GATT, </w:t>
      </w:r>
      <w:r>
        <w:rPr>
          <w:rFonts w:ascii="Cambria" w:hAnsi="Cambria" w:cs="Cambria" w:eastAsia="Cambria"/>
          <w:b/>
          <w:sz w:val="22"/>
        </w:rPr>
        <w:t>Reglamento 2015/478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Acero 2019 expiró el </w:t>
      </w:r>
      <w:r>
        <w:rPr>
          <w:rFonts w:ascii="Cambria" w:hAnsi="Cambria" w:cs="Cambria" w:eastAsia="Cambria"/>
          <w:b/>
          <w:sz w:val="22"/>
        </w:rPr>
        <w:t>30 de junio de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2026/1384</w:t>
      </w:r>
      <w:r>
        <w:rPr>
          <w:rFonts w:ascii="Cambria" w:hAnsi="Cambria" w:cs="Cambria" w:eastAsia="Cambria"/>
          <w:sz w:val="22"/>
        </w:rPr>
        <w:t xml:space="preserve">: contingentes casi a la mitad, </w:t>
      </w:r>
      <w:r>
        <w:rPr>
          <w:rFonts w:ascii="Cambria" w:hAnsi="Cambria" w:cs="Cambria" w:eastAsia="Cambria"/>
          <w:b/>
          <w:sz w:val="22"/>
        </w:rPr>
        <w:t>50 %</w:t>
      </w:r>
      <w:r>
        <w:rPr>
          <w:rFonts w:ascii="Cambria" w:hAnsi="Cambria" w:cs="Cambria" w:eastAsia="Cambria"/>
          <w:sz w:val="22"/>
        </w:rPr>
        <w:t xml:space="preserve"> fuera de contingente, «melt and pour» desde 1 de octubre de 2026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EL ORIGEN DE LAS MERCANCÍAS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Origen distinto de procedencia. Condiciona preferencias, medidas comerciales, estadísticas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sobre Normas de Origen de la OMC</w:t>
      </w:r>
      <w:r>
        <w:rPr>
          <w:rFonts w:ascii="Cambria" w:hAnsi="Cambria" w:cs="Cambria" w:eastAsia="Cambria"/>
          <w:sz w:val="22"/>
        </w:rPr>
        <w:t>: solo no preferenciales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6.1. Criterios para determinar el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de Kioto revisado</w:t>
      </w:r>
      <w:r>
        <w:rPr>
          <w:rFonts w:ascii="Cambria" w:hAnsi="Cambria" w:cs="Cambria" w:eastAsia="Cambria"/>
          <w:sz w:val="22"/>
        </w:rPr>
        <w:t>, anexo K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Enteramente obtenidas</w:t>
      </w:r>
      <w:r>
        <w:rPr>
          <w:rFonts w:ascii="Cambria" w:hAnsi="Cambria" w:cs="Cambria" w:eastAsia="Cambria"/>
          <w:sz w:val="22"/>
        </w:rPr>
        <w:t xml:space="preserve"> o </w:t>
      </w:r>
      <w:r>
        <w:rPr>
          <w:rFonts w:ascii="Cambria" w:hAnsi="Cambria" w:cs="Cambria" w:eastAsia="Cambria"/>
          <w:b/>
          <w:sz w:val="22"/>
        </w:rPr>
        <w:t>transformación sustancial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Métodos alternativos: </w:t>
      </w:r>
      <w:r>
        <w:rPr>
          <w:rFonts w:ascii="Cambria" w:hAnsi="Cambria" w:cs="Cambria" w:eastAsia="Cambria"/>
          <w:b/>
          <w:sz w:val="22"/>
        </w:rPr>
        <w:t>cambio de clasificación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lista de operaciones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porcentaje de valor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40-50 %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Operaciones mínimas no confieren origen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IVO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3 años</w:t>
      </w:r>
      <w:r>
        <w:rPr>
          <w:rFonts w:ascii="Cambria" w:hAnsi="Cambria" w:cs="Cambria" w:eastAsia="Cambria"/>
          <w:sz w:val="22"/>
        </w:rPr>
        <w:t xml:space="preserve">. Arts. </w:t>
      </w:r>
      <w:r>
        <w:rPr>
          <w:rFonts w:ascii="Cambria" w:hAnsi="Cambria" w:cs="Cambria" w:eastAsia="Cambria"/>
          <w:b/>
          <w:sz w:val="22"/>
        </w:rPr>
        <w:t>59 a 68 CAU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6.2. Normas de origen no preferencial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Arts. 59-63 CAU, RD-CAU (arts. 31-36, anexo 22-01)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60 CAU</w:t>
      </w:r>
      <w:r>
        <w:rPr>
          <w:rFonts w:ascii="Cambria" w:hAnsi="Cambria" w:cs="Cambria" w:eastAsia="Cambria"/>
          <w:sz w:val="22"/>
        </w:rPr>
        <w:t>: última transformación sustancial, justificada, en empresa equipada, producto nuevo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2026/1455</w:t>
      </w:r>
      <w:r>
        <w:rPr>
          <w:rFonts w:ascii="Cambria" w:hAnsi="Cambria" w:cs="Cambria" w:eastAsia="Cambria"/>
          <w:sz w:val="22"/>
        </w:rPr>
        <w:t>: derechos 0 % y contingentes para EE. UU.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 Ejecución 2026/1422</w:t>
      </w:r>
      <w:r>
        <w:rPr>
          <w:rFonts w:ascii="Cambria" w:hAnsi="Cambria" w:cs="Cambria" w:eastAsia="Cambria"/>
          <w:sz w:val="22"/>
        </w:rPr>
        <w:t>: prueba de origen no preferencial, certificados electrónicos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Certificado no preferencial solo si lo exige una norma o hay dudas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6.3. Normas de origen preferencial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64 CAU</w:t>
      </w:r>
      <w:r>
        <w:rPr>
          <w:rFonts w:ascii="Cambria" w:hAnsi="Cambria" w:cs="Cambria" w:eastAsia="Cambria"/>
          <w:sz w:val="22"/>
        </w:rPr>
        <w:t>: acuerdos recíprocos y medidas autónomas (SPG)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Acumulación</w:t>
      </w:r>
      <w:r>
        <w:rPr>
          <w:rFonts w:ascii="Cambria" w:hAnsi="Cambria" w:cs="Cambria" w:eastAsia="Cambria"/>
          <w:sz w:val="22"/>
        </w:rPr>
        <w:t>: bilateral, diagonal (paneuromediterránea), total, regional (SPG)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Convenio PEM</w:t>
      </w:r>
      <w:r>
        <w:rPr>
          <w:rFonts w:ascii="Cambria" w:hAnsi="Cambria" w:cs="Cambria" w:eastAsia="Cambria"/>
          <w:sz w:val="22"/>
        </w:rPr>
        <w:t xml:space="preserve"> revisado: general desde 1 de enero de 2026, transitorios con Marruecos, Egipto, Palestina y Túnez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Pruebas de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EUR.1</w:t>
      </w:r>
      <w:r>
        <w:rPr>
          <w:rFonts w:ascii="Cambria" w:hAnsi="Cambria" w:cs="Cambria" w:eastAsia="Cambria"/>
          <w:sz w:val="22"/>
        </w:rPr>
        <w:t>, EUR-MED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Declaración de origen del exportador (CETA, Japón, Reino Unido)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REX</w:t>
      </w:r>
      <w:r>
        <w:rPr>
          <w:rFonts w:ascii="Cambria" w:hAnsi="Cambria" w:cs="Cambria" w:eastAsia="Cambria"/>
          <w:sz w:val="22"/>
        </w:rPr>
        <w:t xml:space="preserve"> en el SPG, hasta </w:t>
      </w:r>
      <w:r>
        <w:rPr>
          <w:rFonts w:ascii="Cambria" w:hAnsi="Cambria" w:cs="Cambria" w:eastAsia="Cambria"/>
          <w:b/>
          <w:sz w:val="22"/>
        </w:rPr>
        <w:t>6.000 €</w:t>
      </w:r>
      <w:r>
        <w:rPr>
          <w:rFonts w:ascii="Cambria" w:hAnsi="Cambria" w:cs="Cambria" w:eastAsia="Cambria"/>
          <w:sz w:val="22"/>
        </w:rPr>
        <w:t xml:space="preserve"> sin registro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A.TR</w:t>
      </w:r>
      <w:r>
        <w:rPr>
          <w:rFonts w:ascii="Cambria" w:hAnsi="Cambria" w:cs="Cambria" w:eastAsia="Cambria"/>
          <w:sz w:val="22"/>
        </w:rPr>
        <w:t>: no es prueba de origen, acredita libre práctica con Turquía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de Ejecución 2026/1183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EU e-PoC</w:t>
      </w:r>
      <w:r>
        <w:rPr>
          <w:rFonts w:ascii="Cambria" w:hAnsi="Cambria" w:cs="Cambria" w:eastAsia="Cambria"/>
          <w:sz w:val="22"/>
        </w:rPr>
        <w:t>, aplicable desde 23 de diciembre de 2027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Antifraude: cooperación administrativa, controles a posteriori, </w:t>
      </w:r>
      <w:r>
        <w:rPr>
          <w:rFonts w:ascii="Cambria" w:hAnsi="Cambria" w:cs="Cambria" w:eastAsia="Cambria"/>
          <w:b/>
          <w:sz w:val="22"/>
        </w:rPr>
        <w:t>OLAF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7. EL VALOR EN ADUANA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Base de derechos ad valorem y del IVA a la importación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DV1 desaparecido: datos en la declaración (anexo B RD-CAU)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7.1. Concepto de valor en aduana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Definición de Bruselas 1950 («precio normal»)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de Valoración de la OMC</w:t>
      </w:r>
      <w:r>
        <w:rPr>
          <w:rFonts w:ascii="Cambria" w:hAnsi="Cambria" w:cs="Cambria" w:eastAsia="Cambria"/>
          <w:sz w:val="22"/>
        </w:rPr>
        <w:t xml:space="preserve"> (art. VII GATT): </w:t>
      </w:r>
      <w:r>
        <w:rPr>
          <w:rFonts w:ascii="Cambria" w:hAnsi="Cambria" w:cs="Cambria" w:eastAsia="Cambria"/>
          <w:b/>
          <w:sz w:val="22"/>
        </w:rPr>
        <w:t>valor de transacción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Arts. </w:t>
      </w:r>
      <w:r>
        <w:rPr>
          <w:rFonts w:ascii="Cambria" w:hAnsi="Cambria" w:cs="Cambria" w:eastAsia="Cambria"/>
          <w:b/>
          <w:sz w:val="22"/>
        </w:rPr>
        <w:t>69 a 76 CAU</w:t>
      </w:r>
      <w:r>
        <w:rPr>
          <w:rFonts w:ascii="Cambria" w:hAnsi="Cambria" w:cs="Cambria" w:eastAsia="Cambria"/>
          <w:sz w:val="22"/>
        </w:rPr>
        <w:t xml:space="preserve">, arts. </w:t>
      </w:r>
      <w:r>
        <w:rPr>
          <w:rFonts w:ascii="Cambria" w:hAnsi="Cambria" w:cs="Cambria" w:eastAsia="Cambria"/>
          <w:b/>
          <w:sz w:val="22"/>
        </w:rPr>
        <w:t>127 a 146 RE-CAU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7.2. Métodos de valoración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Principal</w:t>
      </w:r>
      <w:r>
        <w:rPr>
          <w:rFonts w:ascii="Cambria" w:hAnsi="Cambria" w:cs="Cambria" w:eastAsia="Cambria"/>
          <w:sz w:val="22"/>
        </w:rPr>
        <w:t xml:space="preserve"> (art. 70 CAU): precio pagado o por pagar. Cuatro condiciones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restricciones de cesión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condiciones inevaluables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reversión al vendedor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vinculación influyente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Ajustes</w:t>
      </w:r>
      <w:r>
        <w:rPr>
          <w:rFonts w:ascii="Cambria" w:hAnsi="Cambria" w:cs="Cambria" w:eastAsia="Cambria"/>
          <w:sz w:val="22"/>
        </w:rPr>
        <w:t xml:space="preserve"> (art. 71): comisiones, envases, prestaciones, cánones, transporte y seguro hasta la entrada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Exclusiones</w:t>
      </w:r>
      <w:r>
        <w:rPr>
          <w:rFonts w:ascii="Cambria" w:hAnsi="Cambria" w:cs="Cambria" w:eastAsia="Cambria"/>
          <w:sz w:val="22"/>
        </w:rPr>
        <w:t xml:space="preserve"> (art. 72): transporte posterior, montaje, intereses, comisiones de compra, derechos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Secundarios</w:t>
      </w:r>
      <w:r>
        <w:rPr>
          <w:rFonts w:ascii="Cambria" w:hAnsi="Cambria" w:cs="Cambria" w:eastAsia="Cambria"/>
          <w:sz w:val="22"/>
        </w:rPr>
        <w:t xml:space="preserve"> (art. 74), en orden jerárquico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Mercancías </w:t>
      </w:r>
      <w:r>
        <w:rPr>
          <w:rFonts w:ascii="Cambria" w:hAnsi="Cambria" w:cs="Cambria" w:eastAsia="Cambria"/>
          <w:b/>
          <w:sz w:val="22"/>
        </w:rPr>
        <w:t>idénticas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Mercancías </w:t>
      </w:r>
      <w:r>
        <w:rPr>
          <w:rFonts w:ascii="Cambria" w:hAnsi="Cambria" w:cs="Cambria" w:eastAsia="Cambria"/>
          <w:b/>
          <w:sz w:val="22"/>
        </w:rPr>
        <w:t>similares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Deductivo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Valor calculado</w:t>
      </w:r>
      <w:r>
        <w:rPr>
          <w:rFonts w:ascii="Cambria" w:hAnsi="Cambria" w:cs="Cambria" w:eastAsia="Cambria"/>
          <w:sz w:val="22"/>
        </w:rPr>
        <w:t xml:space="preserve"> (inversión posible deductivo y calculado)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Último recurso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Art. 73 CAU</w:t>
      </w:r>
      <w:r>
        <w:rPr>
          <w:rFonts w:ascii="Cambria" w:hAnsi="Cambria" w:cs="Cambria" w:eastAsia="Cambria"/>
          <w:sz w:val="22"/>
        </w:rPr>
        <w:t>: simplificación de importes no cuantificables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8.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AAC: protección exterior y recursos propios. Aduanas como garantes del mercado interior (CITES, sanciones, </w:t>
      </w:r>
      <w:r>
        <w:rPr>
          <w:rFonts w:ascii="Cambria" w:hAnsi="Cambria" w:cs="Cambria" w:eastAsia="Cambria"/>
          <w:b/>
          <w:sz w:val="22"/>
        </w:rPr>
        <w:t>MAFC</w:t>
      </w:r>
      <w:r>
        <w:rPr>
          <w:rFonts w:ascii="Cambria" w:hAnsi="Cambria" w:cs="Cambria" w:eastAsia="Cambria"/>
          <w:sz w:val="22"/>
        </w:rPr>
        <w:t xml:space="preserve"> desde 1 de enero de 2026)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Mayor transformación desde 1968: </w:t>
      </w:r>
      <w:r>
        <w:rPr>
          <w:rFonts w:ascii="Cambria" w:hAnsi="Cambria" w:cs="Cambria" w:eastAsia="Cambria"/>
          <w:b/>
          <w:sz w:val="22"/>
        </w:rPr>
        <w:t>Reglamento 2026/2108</w:t>
      </w:r>
      <w:r>
        <w:rPr>
          <w:rFonts w:ascii="Cambria" w:hAnsi="Cambria" w:cs="Cambria" w:eastAsia="Cambria"/>
          <w:sz w:val="22"/>
        </w:rPr>
        <w:t>, Autoridad, Centro de Datos, acero, SPG 2027, SA 2028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Acuerdo de Comercio y Cooperación</w:t>
      </w:r>
      <w:r>
        <w:rPr>
          <w:rFonts w:ascii="Cambria" w:hAnsi="Cambria" w:cs="Cambria" w:eastAsia="Cambria"/>
          <w:sz w:val="22"/>
        </w:rPr>
        <w:t xml:space="preserve"> con Reino Unido (1 de mayo de 2021), </w:t>
      </w:r>
      <w:r>
        <w:rPr>
          <w:rFonts w:ascii="Cambria" w:hAnsi="Cambria" w:cs="Cambria" w:eastAsia="Cambria"/>
          <w:b/>
          <w:sz w:val="22"/>
        </w:rPr>
        <w:t>Marco de Windsor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: Ventanilla Única Aduanera, art. 25 </w:t>
      </w:r>
      <w:r>
        <w:rPr>
          <w:rFonts w:ascii="Cambria" w:hAnsi="Cambria" w:cs="Cambria" w:eastAsia="Cambria"/>
          <w:b/>
          <w:sz w:val="22"/>
        </w:rPr>
        <w:t>Reglamento (UE) 2019/1020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21 – El régimen aduanero del comercio exterior: política aduanera comunitaria.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21 – El régimen aduanero del comercio exterior: política aduanera comunitaria.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