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Instrumentos públicos de apoyo a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Comerciales</w:t>
      </w:r>
      <w:r>
        <w:rPr>
          <w:rFonts w:ascii="Cambria" w:hAnsi="Cambria" w:cs="Cambria" w:eastAsia="Cambria"/>
          <w:sz w:val="22"/>
        </w:rPr>
        <w:t xml:space="preserve"> de apoyo a la exportación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Fiscales</w:t>
      </w:r>
      <w:r>
        <w:rPr>
          <w:rFonts w:ascii="Cambria" w:hAnsi="Cambria" w:cs="Cambria" w:eastAsia="Cambria"/>
          <w:sz w:val="22"/>
        </w:rPr>
        <w:t xml:space="preserve"> no aduaneros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Financieros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Financiación comercial: </w:t>
      </w:r>
      <w:r>
        <w:rPr>
          <w:rFonts w:ascii="Cambria" w:hAnsi="Cambria" w:cs="Cambria" w:eastAsia="Cambria"/>
          <w:b/>
          <w:sz w:val="22"/>
        </w:rPr>
        <w:t>Seguro de Crédito a la Exportación (CESCE)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crédito CARI-ICO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Financiación directa e inversión exterior: </w:t>
      </w:r>
      <w:r>
        <w:rPr>
          <w:rFonts w:ascii="Cambria" w:hAnsi="Cambria" w:cs="Cambria" w:eastAsia="Cambria"/>
          <w:b/>
          <w:sz w:val="22"/>
        </w:rPr>
        <w:t>FIEM</w:t>
      </w:r>
      <w:r>
        <w:rPr>
          <w:rFonts w:ascii="Cambria" w:hAnsi="Cambria" w:cs="Cambria" w:eastAsia="Cambria"/>
          <w:sz w:val="22"/>
        </w:rPr>
        <w:t xml:space="preserve"> y fondos de </w:t>
      </w:r>
      <w:r>
        <w:rPr>
          <w:rFonts w:ascii="Cambria" w:hAnsi="Cambria" w:cs="Cambria" w:eastAsia="Cambria"/>
          <w:b/>
          <w:sz w:val="22"/>
        </w:rPr>
        <w:t>COFIDES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FIEM</w:t>
      </w:r>
      <w:r>
        <w:rPr>
          <w:rFonts w:ascii="Cambria" w:hAnsi="Cambria" w:cs="Cambria" w:eastAsia="Cambria"/>
          <w:sz w:val="22"/>
        </w:rPr>
        <w:t>: principal instrumento financiero público de apoyo directo a la exportación y a la inversión española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Sustituyó al </w:t>
      </w:r>
      <w:r>
        <w:rPr>
          <w:rFonts w:ascii="Cambria" w:hAnsi="Cambria" w:cs="Cambria" w:eastAsia="Cambria"/>
          <w:b/>
          <w:sz w:val="22"/>
        </w:rPr>
        <w:t>FAD</w:t>
      </w:r>
      <w:r>
        <w:rPr>
          <w:rFonts w:ascii="Cambria" w:hAnsi="Cambria" w:cs="Cambria" w:eastAsia="Cambria"/>
          <w:sz w:val="22"/>
        </w:rPr>
        <w:t xml:space="preserve"> en su vertiente de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Absorbió la financiación de estudios de viabilidad del </w:t>
      </w:r>
      <w:r>
        <w:rPr>
          <w:rFonts w:ascii="Cambria" w:hAnsi="Cambria" w:cs="Cambria" w:eastAsia="Cambria"/>
          <w:b/>
          <w:sz w:val="22"/>
        </w:rPr>
        <w:t>FEV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FONPYME</w:t>
      </w:r>
      <w:r>
        <w:rPr>
          <w:rFonts w:ascii="Cambria" w:hAnsi="Cambria" w:cs="Cambria" w:eastAsia="Cambria"/>
          <w:sz w:val="22"/>
        </w:rPr>
        <w:t>: gestionados por COFIDES, apoyo a la inversión en el exterior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ANTECEDENTES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Contexto de crisis desde </w:t>
      </w:r>
      <w:r>
        <w:rPr>
          <w:rFonts w:ascii="Cambria" w:hAnsi="Cambria" w:cs="Cambria" w:eastAsia="Cambria"/>
          <w:b/>
          <w:sz w:val="22"/>
        </w:rPr>
        <w:t>2008</w:t>
      </w:r>
      <w:r>
        <w:rPr>
          <w:rFonts w:ascii="Cambria" w:hAnsi="Cambria" w:cs="Cambria" w:eastAsia="Cambria"/>
          <w:sz w:val="22"/>
        </w:rPr>
        <w:t>: restricciones de crédito, menos financiación privada, más competencia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11/2010</w:t>
      </w:r>
      <w:r>
        <w:rPr>
          <w:rFonts w:ascii="Cambria" w:hAnsi="Cambria" w:cs="Cambria" w:eastAsia="Cambria"/>
          <w:sz w:val="22"/>
        </w:rPr>
        <w:t xml:space="preserve"> de Reforma del Sistema de Apoyo Financiero a la Internacionalización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Extingue el </w:t>
      </w:r>
      <w:r>
        <w:rPr>
          <w:rFonts w:ascii="Cambria" w:hAnsi="Cambria" w:cs="Cambria" w:eastAsia="Cambria"/>
          <w:b/>
          <w:sz w:val="22"/>
        </w:rPr>
        <w:t>FAD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Crea el </w:t>
      </w:r>
      <w:r>
        <w:rPr>
          <w:rFonts w:ascii="Cambria" w:hAnsi="Cambria" w:cs="Cambria" w:eastAsia="Cambria"/>
          <w:b/>
          <w:sz w:val="22"/>
        </w:rPr>
        <w:t>FIEM</w:t>
      </w:r>
      <w:r>
        <w:rPr>
          <w:rFonts w:ascii="Cambria" w:hAnsi="Cambria" w:cs="Cambria" w:eastAsia="Cambria"/>
          <w:sz w:val="22"/>
        </w:rPr>
        <w:t xml:space="preserve">, gestionado por la </w:t>
      </w:r>
      <w:r>
        <w:rPr>
          <w:rFonts w:ascii="Cambria" w:hAnsi="Cambria" w:cs="Cambria" w:eastAsia="Cambria"/>
          <w:b/>
          <w:sz w:val="22"/>
        </w:rPr>
        <w:t>Secretaría de Estado de Comercio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Fondo de Ayuda al Desarrollo (FAD)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por el </w:t>
      </w:r>
      <w:r>
        <w:rPr>
          <w:rFonts w:ascii="Cambria" w:hAnsi="Cambria" w:cs="Cambria" w:eastAsia="Cambria"/>
          <w:b/>
          <w:sz w:val="22"/>
        </w:rPr>
        <w:t>Real Decreto-ley 16/1976</w:t>
      </w:r>
      <w:r>
        <w:rPr>
          <w:rFonts w:ascii="Cambria" w:hAnsi="Cambria" w:cs="Cambria" w:eastAsia="Cambria"/>
          <w:sz w:val="22"/>
        </w:rPr>
        <w:t>, financiación concesional de exportaciones de bienes y servicios españoles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Doble objetivo: internacionalización y desarrollo de los países receptores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Mayoría de operaciones computaban como </w:t>
      </w:r>
      <w:r>
        <w:rPr>
          <w:rFonts w:ascii="Cambria" w:hAnsi="Cambria" w:cs="Cambria" w:eastAsia="Cambria"/>
          <w:b/>
          <w:sz w:val="22"/>
        </w:rPr>
        <w:t>AOD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Contribuciones a instituciones financieras multilaterales de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Crédito FAD</w:t>
      </w:r>
      <w:r>
        <w:rPr>
          <w:rFonts w:ascii="Cambria" w:hAnsi="Cambria" w:cs="Cambria" w:eastAsia="Cambria"/>
          <w:sz w:val="22"/>
        </w:rPr>
        <w:t>: de Estado a Estado, largos plazos, elemento de liberalidad (concesionalidad)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 FEV</w:t>
      </w:r>
      <w:r>
        <w:rPr>
          <w:rFonts w:ascii="Cambria" w:hAnsi="Cambria" w:cs="Cambria" w:eastAsia="Cambria"/>
          <w:sz w:val="22"/>
        </w:rPr>
        <w:t xml:space="preserve"> (1995): estudios de viabilidad, asistencias técnicas y consultorías de empresas españolas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Tras 2010 se integra en el FIEM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OBJETO Y CARACTERÍSTICAS GENERALES DEL FIEM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Objeto del FIEM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Separa la política de internacionalización de la cooperación al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Objetivo: incorporar empresas a la exportación y proyectar presencia estable (redes comerciales o productivas, proyectos de inversión)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Diferencias con el FAD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flexibilidad de modalidades: financiación reembolsable concesional o comercial, y no reembolsable en supuestos previstos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Objeto ampliado: exportación e </w:t>
      </w:r>
      <w:r>
        <w:rPr>
          <w:rFonts w:ascii="Cambria" w:hAnsi="Cambria" w:cs="Cambria" w:eastAsia="Cambria"/>
          <w:b/>
          <w:sz w:val="22"/>
        </w:rPr>
        <w:t>inversión directa</w:t>
      </w:r>
      <w:r>
        <w:rPr>
          <w:rFonts w:ascii="Cambria" w:hAnsi="Cambria" w:cs="Cambria" w:eastAsia="Cambria"/>
          <w:sz w:val="22"/>
        </w:rPr>
        <w:t xml:space="preserve">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Beneficiarios ampliados: Estados, Administraciones públicas, instituciones, empresas o consorcios extranjeros, organismos internacionales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 amplitud geográfica y sectorial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Más flexibilidad en garantías y análisis de riesgos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Más transparencia y control parlamentario: </w:t>
      </w:r>
      <w:r>
        <w:rPr>
          <w:rFonts w:ascii="Cambria" w:hAnsi="Cambria" w:cs="Cambria" w:eastAsia="Cambria"/>
          <w:b/>
          <w:sz w:val="22"/>
        </w:rPr>
        <w:t>Memoria anual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Ejes estratégicos</w:t>
      </w:r>
      <w:r>
        <w:rPr>
          <w:rFonts w:ascii="Cambria" w:hAnsi="Cambria" w:cs="Cambria" w:eastAsia="Cambria"/>
          <w:sz w:val="22"/>
        </w:rPr>
        <w:t xml:space="preserve"> (reorientados cada año por las </w:t>
      </w:r>
      <w:r>
        <w:rPr>
          <w:rFonts w:ascii="Cambria" w:hAnsi="Cambria" w:cs="Cambria" w:eastAsia="Cambria"/>
          <w:b/>
          <w:sz w:val="22"/>
        </w:rPr>
        <w:t>Líneas Orientativas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Internacionalización según la </w:t>
      </w:r>
      <w:r>
        <w:rPr>
          <w:rFonts w:ascii="Cambria" w:hAnsi="Cambria" w:cs="Cambria" w:eastAsia="Cambria"/>
          <w:b/>
          <w:sz w:val="22"/>
        </w:rPr>
        <w:t>Estrategia 2017-2027</w:t>
      </w:r>
      <w:r>
        <w:rPr>
          <w:rFonts w:ascii="Cambria" w:hAnsi="Cambria" w:cs="Cambria" w:eastAsia="Cambria"/>
          <w:sz w:val="22"/>
        </w:rPr>
        <w:t xml:space="preserve"> y su actualización de 2023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Apoyo a la PYME: </w:t>
      </w:r>
      <w:r>
        <w:rPr>
          <w:rFonts w:ascii="Cambria" w:hAnsi="Cambria" w:cs="Cambria" w:eastAsia="Cambria"/>
          <w:b/>
          <w:sz w:val="22"/>
        </w:rPr>
        <w:t>Línea FIEM-PYME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Cambio climático y financiación sostenible: </w:t>
      </w:r>
      <w:r>
        <w:rPr>
          <w:rFonts w:ascii="Cambria" w:hAnsi="Cambria" w:cs="Cambria" w:eastAsia="Cambria"/>
          <w:b/>
          <w:sz w:val="22"/>
        </w:rPr>
        <w:t>Línea ECOFIEM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Cofinanciación con otros agentes públicos o privados, multilaterales o de la UE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Digitalización: plataforma online de tramitación desde </w:t>
      </w:r>
      <w:r>
        <w:rPr>
          <w:rFonts w:ascii="Cambria" w:hAnsi="Cambria" w:cs="Cambria" w:eastAsia="Cambria"/>
          <w:b/>
          <w:sz w:val="22"/>
        </w:rPr>
        <w:t>2021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Perspectiva de género en la valoración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Prioridad a operaciones en </w:t>
      </w:r>
      <w:r>
        <w:rPr>
          <w:rFonts w:ascii="Cambria" w:hAnsi="Cambria" w:cs="Cambria" w:eastAsia="Cambria"/>
          <w:b/>
          <w:sz w:val="22"/>
        </w:rPr>
        <w:t>condiciones comerciales</w:t>
      </w:r>
      <w:r>
        <w:rPr>
          <w:rFonts w:ascii="Cambria" w:hAnsi="Cambria" w:cs="Cambria" w:eastAsia="Cambria"/>
          <w:sz w:val="22"/>
        </w:rPr>
        <w:t xml:space="preserve"> (autosostenibilidad financiera)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Proyectos vinculados a </w:t>
      </w:r>
      <w:r>
        <w:rPr>
          <w:rFonts w:ascii="Cambria" w:hAnsi="Cambria" w:cs="Cambria" w:eastAsia="Cambria"/>
          <w:b/>
          <w:sz w:val="22"/>
        </w:rPr>
        <w:t>Global Gateway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Aranceles de </w:t>
      </w:r>
      <w:r>
        <w:rPr>
          <w:rFonts w:ascii="Cambria" w:hAnsi="Cambria" w:cs="Cambria" w:eastAsia="Cambria"/>
          <w:b/>
          <w:sz w:val="22"/>
        </w:rPr>
        <w:t>EEUU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Real Decreto-ley 4/2025</w:t>
      </w:r>
      <w:r>
        <w:rPr>
          <w:rFonts w:ascii="Cambria" w:hAnsi="Cambria" w:cs="Cambria" w:eastAsia="Cambria"/>
          <w:sz w:val="22"/>
        </w:rPr>
        <w:t xml:space="preserve"> y Plan de Respuesta y Relanzamiento Comercial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Kit Exporta</w:t>
      </w:r>
      <w:r>
        <w:rPr>
          <w:rFonts w:ascii="Cambria" w:hAnsi="Cambria" w:cs="Cambria" w:eastAsia="Cambria"/>
          <w:sz w:val="22"/>
        </w:rPr>
        <w:t xml:space="preserve"> en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Empresa afectada: criterio de valoración positiva, nunca excluyente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Moneda: euro o cualquier divisa con cotización oficial del </w:t>
      </w:r>
      <w:r>
        <w:rPr>
          <w:rFonts w:ascii="Cambria" w:hAnsi="Cambria" w:cs="Cambria" w:eastAsia="Cambria"/>
          <w:b/>
          <w:sz w:val="22"/>
        </w:rPr>
        <w:t>BCE</w:t>
      </w:r>
      <w:r>
        <w:rPr>
          <w:rFonts w:ascii="Cambria" w:hAnsi="Cambria" w:cs="Cambria" w:eastAsia="Cambria"/>
          <w:sz w:val="22"/>
        </w:rPr>
        <w:t>, generalmente euros o dólares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Fases de tramitación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Solicitud del exportador o inversor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Análisis por la </w:t>
      </w:r>
      <w:r>
        <w:rPr>
          <w:rFonts w:ascii="Cambria" w:hAnsi="Cambria" w:cs="Cambria" w:eastAsia="Cambria"/>
          <w:b/>
          <w:sz w:val="22"/>
        </w:rPr>
        <w:t>Subdirección General regional</w:t>
      </w:r>
      <w:r>
        <w:rPr>
          <w:rFonts w:ascii="Cambria" w:hAnsi="Cambria" w:cs="Cambria" w:eastAsia="Cambria"/>
          <w:sz w:val="22"/>
        </w:rPr>
        <w:t xml:space="preserve"> competente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Áreas: Iberoamérica y América del Norte, Europa UE, Mediterráneo, África y Oriente Medio, Asia, Oceanía y Europa no UE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Puede emitir carta de intenciones y, tras el Grupo de Trabajo, carta de oferta financiera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Aprobación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Comité FIEM</w:t>
      </w:r>
      <w:r>
        <w:rPr>
          <w:rFonts w:ascii="Cambria" w:hAnsi="Cambria" w:cs="Cambria" w:eastAsia="Cambria"/>
          <w:sz w:val="22"/>
        </w:rPr>
        <w:t xml:space="preserve"> propone y la </w:t>
      </w:r>
      <w:r>
        <w:rPr>
          <w:rFonts w:ascii="Cambria" w:hAnsi="Cambria" w:cs="Cambria" w:eastAsia="Cambria"/>
          <w:b/>
          <w:sz w:val="22"/>
        </w:rPr>
        <w:t>Secretaría de Estado de Comercio</w:t>
      </w:r>
      <w:r>
        <w:rPr>
          <w:rFonts w:ascii="Cambria" w:hAnsi="Cambria" w:cs="Cambria" w:eastAsia="Cambria"/>
          <w:sz w:val="22"/>
        </w:rPr>
        <w:t xml:space="preserve"> decide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Al </w:t>
      </w:r>
      <w:r>
        <w:rPr>
          <w:rFonts w:ascii="Cambria" w:hAnsi="Cambria" w:cs="Cambria" w:eastAsia="Cambria"/>
          <w:b/>
          <w:sz w:val="22"/>
        </w:rPr>
        <w:t>Consejo de Ministros</w:t>
      </w:r>
      <w:r>
        <w:rPr>
          <w:rFonts w:ascii="Cambria" w:hAnsi="Cambria" w:cs="Cambria" w:eastAsia="Cambria"/>
          <w:sz w:val="22"/>
        </w:rPr>
        <w:t>: créditos concesionales, donaciones y operaciones de especial relevancia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Entrada en vigor: el </w:t>
      </w:r>
      <w:r>
        <w:rPr>
          <w:rFonts w:ascii="Cambria" w:hAnsi="Cambria" w:cs="Cambria" w:eastAsia="Cambria"/>
          <w:b/>
          <w:sz w:val="22"/>
        </w:rPr>
        <w:t>ICO</w:t>
      </w:r>
      <w:r>
        <w:rPr>
          <w:rFonts w:ascii="Cambria" w:hAnsi="Cambria" w:cs="Cambria" w:eastAsia="Cambria"/>
          <w:sz w:val="22"/>
        </w:rPr>
        <w:t>, agente financiero, negocia el convenio de crédito y paga al exportador por hitos, con banco pagador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Características Generales del FIEM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Límite anual</w:t>
      </w:r>
      <w:r>
        <w:rPr>
          <w:rFonts w:ascii="Cambria" w:hAnsi="Cambria" w:cs="Cambria" w:eastAsia="Cambria"/>
          <w:sz w:val="22"/>
        </w:rPr>
        <w:t xml:space="preserve"> fijado por la Ley de Presupuestos Generales del Estado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Real Decreto-ley 4/2025</w:t>
      </w:r>
      <w:r>
        <w:rPr>
          <w:rFonts w:ascii="Cambria" w:hAnsi="Cambria" w:cs="Cambria" w:eastAsia="Cambria"/>
          <w:sz w:val="22"/>
        </w:rPr>
        <w:t xml:space="preserve">: de </w:t>
      </w:r>
      <w:r>
        <w:rPr>
          <w:rFonts w:ascii="Cambria" w:hAnsi="Cambria" w:cs="Cambria" w:eastAsia="Cambria"/>
          <w:b/>
          <w:sz w:val="22"/>
        </w:rPr>
        <w:t>500 a 700 millones de euros</w:t>
      </w:r>
      <w:r>
        <w:rPr>
          <w:rFonts w:ascii="Cambria" w:hAnsi="Cambria" w:cs="Cambria" w:eastAsia="Cambria"/>
          <w:sz w:val="22"/>
        </w:rPr>
        <w:t xml:space="preserve"> en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Operaciones </w:t>
      </w:r>
      <w:r>
        <w:rPr>
          <w:rFonts w:ascii="Cambria" w:hAnsi="Cambria" w:cs="Cambria" w:eastAsia="Cambria"/>
          <w:b/>
          <w:sz w:val="22"/>
        </w:rPr>
        <w:t>no reembolsables</w:t>
      </w:r>
      <w:r>
        <w:rPr>
          <w:rFonts w:ascii="Cambria" w:hAnsi="Cambria" w:cs="Cambria" w:eastAsia="Cambria"/>
          <w:sz w:val="22"/>
        </w:rPr>
        <w:t xml:space="preserve"> hasta </w:t>
      </w:r>
      <w:r>
        <w:rPr>
          <w:rFonts w:ascii="Cambria" w:hAnsi="Cambria" w:cs="Cambria" w:eastAsia="Cambria"/>
          <w:b/>
          <w:sz w:val="22"/>
        </w:rPr>
        <w:t>20 millones de euros</w:t>
      </w:r>
      <w:r>
        <w:rPr>
          <w:rFonts w:ascii="Cambria" w:hAnsi="Cambria" w:cs="Cambria" w:eastAsia="Cambria"/>
          <w:sz w:val="22"/>
        </w:rPr>
        <w:t xml:space="preserve"> para diversificar mercados de empresas afectadas por aranceles de EEUU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519/2026</w:t>
      </w:r>
      <w:r>
        <w:rPr>
          <w:rFonts w:ascii="Cambria" w:hAnsi="Cambria" w:cs="Cambria" w:eastAsia="Cambria"/>
          <w:sz w:val="22"/>
        </w:rPr>
        <w:t xml:space="preserve">: modifica el Reglamento para la reconstrucción de </w:t>
      </w:r>
      <w:r>
        <w:rPr>
          <w:rFonts w:ascii="Cambria" w:hAnsi="Cambria" w:cs="Cambria" w:eastAsia="Cambria"/>
          <w:b/>
          <w:sz w:val="22"/>
        </w:rPr>
        <w:t>Ucrania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Flexibilidad en garantías ucranianas, límite acumulado de </w:t>
      </w:r>
      <w:r>
        <w:rPr>
          <w:rFonts w:ascii="Cambria" w:hAnsi="Cambria" w:cs="Cambria" w:eastAsia="Cambria"/>
          <w:b/>
          <w:sz w:val="22"/>
        </w:rPr>
        <w:t>100 millones de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Financiación no reembolsable más allá de asistencias técnicas y consultorías, límite acumulado de </w:t>
      </w:r>
      <w:r>
        <w:rPr>
          <w:rFonts w:ascii="Cambria" w:hAnsi="Cambria" w:cs="Cambria" w:eastAsia="Cambria"/>
          <w:b/>
          <w:sz w:val="22"/>
        </w:rPr>
        <w:t>100 millones de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Incorpora la Oficina Española para la Reconstrucción de Ucrania al Comité FIEM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Exige maximizar el </w:t>
      </w:r>
      <w:r>
        <w:rPr>
          <w:rFonts w:ascii="Cambria" w:hAnsi="Cambria" w:cs="Cambria" w:eastAsia="Cambria"/>
          <w:b/>
          <w:sz w:val="22"/>
        </w:rPr>
        <w:t>efecto arrastre exportador</w:t>
      </w:r>
      <w:r>
        <w:rPr>
          <w:rFonts w:ascii="Cambria" w:hAnsi="Cambria" w:cs="Cambria" w:eastAsia="Cambria"/>
          <w:sz w:val="22"/>
        </w:rPr>
        <w:t xml:space="preserve"> (directo e indirecto)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Modalidades de 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Reembolsable </w:t>
      </w:r>
      <w:r>
        <w:rPr>
          <w:rFonts w:ascii="Cambria" w:hAnsi="Cambria" w:cs="Cambria" w:eastAsia="Cambria"/>
          <w:b/>
          <w:sz w:val="22"/>
        </w:rPr>
        <w:t>concesional</w:t>
      </w:r>
      <w:r>
        <w:rPr>
          <w:rFonts w:ascii="Cambria" w:hAnsi="Cambria" w:cs="Cambria" w:eastAsia="Cambria"/>
          <w:sz w:val="22"/>
        </w:rPr>
        <w:t xml:space="preserve">: proyectos de especial interés no viables comercialmente, requisitos del </w:t>
      </w:r>
      <w:r>
        <w:rPr>
          <w:rFonts w:ascii="Cambria" w:hAnsi="Cambria" w:cs="Cambria" w:eastAsia="Cambria"/>
          <w:b/>
          <w:sz w:val="22"/>
        </w:rPr>
        <w:t>Consenso de la OCDE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Reembolsable </w:t>
      </w:r>
      <w:r>
        <w:rPr>
          <w:rFonts w:ascii="Cambria" w:hAnsi="Cambria" w:cs="Cambria" w:eastAsia="Cambria"/>
          <w:b/>
          <w:sz w:val="22"/>
        </w:rPr>
        <w:t>comercial</w:t>
      </w:r>
      <w:r>
        <w:rPr>
          <w:rFonts w:ascii="Cambria" w:hAnsi="Cambria" w:cs="Cambria" w:eastAsia="Cambria"/>
          <w:sz w:val="22"/>
        </w:rPr>
        <w:t xml:space="preserve"> para exportación: créditos al comprador extranjero, oferta competitiva, diferencia clave con el FAD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Reembolsable </w:t>
      </w:r>
      <w:r>
        <w:rPr>
          <w:rFonts w:ascii="Cambria" w:hAnsi="Cambria" w:cs="Cambria" w:eastAsia="Cambria"/>
          <w:b/>
          <w:sz w:val="22"/>
        </w:rPr>
        <w:t>comercial</w:t>
      </w:r>
      <w:r>
        <w:rPr>
          <w:rFonts w:ascii="Cambria" w:hAnsi="Cambria" w:cs="Cambria" w:eastAsia="Cambria"/>
          <w:sz w:val="22"/>
        </w:rPr>
        <w:t xml:space="preserve"> para inversión: préstamos a inversiones productivas y </w:t>
      </w:r>
      <w:r>
        <w:rPr>
          <w:rFonts w:ascii="Cambria" w:hAnsi="Cambria" w:cs="Cambria" w:eastAsia="Cambria"/>
          <w:b/>
          <w:sz w:val="22"/>
        </w:rPr>
        <w:t>project finance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Líneas de crédito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FIEM-PYME</w:t>
      </w:r>
      <w:r>
        <w:rPr>
          <w:rFonts w:ascii="Cambria" w:hAnsi="Cambria" w:cs="Cambria" w:eastAsia="Cambria"/>
          <w:sz w:val="22"/>
        </w:rPr>
        <w:t xml:space="preserve"> (2019): hasta </w:t>
      </w:r>
      <w:r>
        <w:rPr>
          <w:rFonts w:ascii="Cambria" w:hAnsi="Cambria" w:cs="Cambria" w:eastAsia="Cambria"/>
          <w:b/>
          <w:sz w:val="22"/>
        </w:rPr>
        <w:t>10 millones de euros</w:t>
      </w:r>
      <w:r>
        <w:rPr>
          <w:rFonts w:ascii="Cambria" w:hAnsi="Cambria" w:cs="Cambria" w:eastAsia="Cambria"/>
          <w:sz w:val="22"/>
        </w:rPr>
        <w:t xml:space="preserve"> por proyecto, más de </w:t>
      </w:r>
      <w:r>
        <w:rPr>
          <w:rFonts w:ascii="Cambria" w:hAnsi="Cambria" w:cs="Cambria" w:eastAsia="Cambria"/>
          <w:b/>
          <w:sz w:val="22"/>
        </w:rPr>
        <w:t>400 millones de euros</w:t>
      </w:r>
      <w:r>
        <w:rPr>
          <w:rFonts w:ascii="Cambria" w:hAnsi="Cambria" w:cs="Cambria" w:eastAsia="Cambria"/>
          <w:sz w:val="22"/>
        </w:rPr>
        <w:t xml:space="preserve"> de dotación, riesgo por </w:t>
      </w:r>
      <w:r>
        <w:rPr>
          <w:rFonts w:ascii="Cambria" w:hAnsi="Cambria" w:cs="Cambria" w:eastAsia="Cambria"/>
          <w:b/>
          <w:sz w:val="22"/>
        </w:rPr>
        <w:t>CESCE</w:t>
      </w:r>
      <w:r>
        <w:rPr>
          <w:rFonts w:ascii="Cambria" w:hAnsi="Cambria" w:cs="Cambria" w:eastAsia="Cambria"/>
          <w:sz w:val="22"/>
        </w:rPr>
        <w:t xml:space="preserve"> (exportación) o </w:t>
      </w:r>
      <w:r>
        <w:rPr>
          <w:rFonts w:ascii="Cambria" w:hAnsi="Cambria" w:cs="Cambria" w:eastAsia="Cambria"/>
          <w:b/>
          <w:sz w:val="22"/>
        </w:rPr>
        <w:t>COFIDES</w:t>
      </w:r>
      <w:r>
        <w:rPr>
          <w:rFonts w:ascii="Cambria" w:hAnsi="Cambria" w:cs="Cambria" w:eastAsia="Cambria"/>
          <w:sz w:val="22"/>
        </w:rPr>
        <w:t xml:space="preserve"> (inversión)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ECOFIEM</w:t>
      </w:r>
      <w:r>
        <w:rPr>
          <w:rFonts w:ascii="Cambria" w:hAnsi="Cambria" w:cs="Cambria" w:eastAsia="Cambria"/>
          <w:sz w:val="22"/>
        </w:rPr>
        <w:t xml:space="preserve"> (2019): hasta </w:t>
      </w:r>
      <w:r>
        <w:rPr>
          <w:rFonts w:ascii="Cambria" w:hAnsi="Cambria" w:cs="Cambria" w:eastAsia="Cambria"/>
          <w:b/>
          <w:sz w:val="22"/>
        </w:rPr>
        <w:t>200 millones de euros</w:t>
      </w:r>
      <w:r>
        <w:rPr>
          <w:rFonts w:ascii="Cambria" w:hAnsi="Cambria" w:cs="Cambria" w:eastAsia="Cambria"/>
          <w:sz w:val="22"/>
        </w:rPr>
        <w:t>, mitigación o adaptación al cambio climático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EVATIC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20 millones de euros</w:t>
      </w:r>
      <w:r>
        <w:rPr>
          <w:rFonts w:ascii="Cambria" w:hAnsi="Cambria" w:cs="Cambria" w:eastAsia="Cambria"/>
          <w:sz w:val="22"/>
        </w:rPr>
        <w:t>, estudios de viabilidad y consultorías, heredera del FEV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Desde junio de 2017 a diciembre de 2025: </w:t>
      </w:r>
      <w:r>
        <w:rPr>
          <w:rFonts w:ascii="Cambria" w:hAnsi="Cambria" w:cs="Cambria" w:eastAsia="Cambria"/>
          <w:b/>
          <w:sz w:val="22"/>
        </w:rPr>
        <w:t>218 operaciones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263 millones de euros</w:t>
      </w:r>
      <w:r>
        <w:rPr>
          <w:rFonts w:ascii="Cambria" w:hAnsi="Cambria" w:cs="Cambria" w:eastAsia="Cambria"/>
          <w:sz w:val="22"/>
        </w:rPr>
        <w:t xml:space="preserve">, remanente de </w:t>
      </w:r>
      <w:r>
        <w:rPr>
          <w:rFonts w:ascii="Cambria" w:hAnsi="Cambria" w:cs="Cambria" w:eastAsia="Cambria"/>
          <w:b/>
          <w:sz w:val="22"/>
        </w:rPr>
        <w:t>137 millones de euros</w:t>
      </w:r>
      <w:r>
        <w:rPr>
          <w:rFonts w:ascii="Cambria" w:hAnsi="Cambria" w:cs="Cambria" w:eastAsia="Cambria"/>
          <w:sz w:val="22"/>
        </w:rPr>
        <w:t xml:space="preserve">, más del </w:t>
      </w:r>
      <w:r>
        <w:rPr>
          <w:rFonts w:ascii="Cambria" w:hAnsi="Cambria" w:cs="Cambria" w:eastAsia="Cambria"/>
          <w:b/>
          <w:sz w:val="22"/>
        </w:rPr>
        <w:t>87%</w:t>
      </w:r>
      <w:r>
        <w:rPr>
          <w:rFonts w:ascii="Cambria" w:hAnsi="Cambria" w:cs="Cambria" w:eastAsia="Cambria"/>
          <w:sz w:val="22"/>
        </w:rPr>
        <w:t xml:space="preserve"> sector privado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Línea no reembolsable de estudios</w:t>
      </w:r>
      <w:r>
        <w:rPr>
          <w:rFonts w:ascii="Cambria" w:hAnsi="Cambria" w:cs="Cambria" w:eastAsia="Cambria"/>
          <w:sz w:val="22"/>
        </w:rPr>
        <w:t xml:space="preserve"> (2021): renovada en 2025 con </w:t>
      </w:r>
      <w:r>
        <w:rPr>
          <w:rFonts w:ascii="Cambria" w:hAnsi="Cambria" w:cs="Cambria" w:eastAsia="Cambria"/>
          <w:b/>
          <w:sz w:val="22"/>
        </w:rPr>
        <w:t>20 millones de euros</w:t>
      </w:r>
      <w:r>
        <w:rPr>
          <w:rFonts w:ascii="Cambria" w:hAnsi="Cambria" w:cs="Cambria" w:eastAsia="Cambria"/>
          <w:sz w:val="22"/>
        </w:rPr>
        <w:t xml:space="preserve"> anuales hasta 2028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FIEM-Facilidades UE</w:t>
      </w:r>
      <w:r>
        <w:rPr>
          <w:rFonts w:ascii="Cambria" w:hAnsi="Cambria" w:cs="Cambria" w:eastAsia="Cambria"/>
          <w:sz w:val="22"/>
        </w:rPr>
        <w:t xml:space="preserve"> (Blending FIEM-UE): 2014, modificada en 2017, </w:t>
      </w:r>
      <w:r>
        <w:rPr>
          <w:rFonts w:ascii="Cambria" w:hAnsi="Cambria" w:cs="Cambria" w:eastAsia="Cambria"/>
          <w:b/>
          <w:sz w:val="22"/>
        </w:rPr>
        <w:t>50 millones de euros</w:t>
      </w:r>
      <w:r>
        <w:rPr>
          <w:rFonts w:ascii="Cambria" w:hAnsi="Cambria" w:cs="Cambria" w:eastAsia="Cambria"/>
          <w:sz w:val="22"/>
        </w:rPr>
        <w:t>, COFIDES con ejecución delegada del presupuesto de la UE desde 2016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Líneas País</w:t>
      </w:r>
      <w:r>
        <w:rPr>
          <w:rFonts w:ascii="Cambria" w:hAnsi="Cambria" w:cs="Cambria" w:eastAsia="Cambria"/>
          <w:sz w:val="22"/>
        </w:rPr>
        <w:t>: convenio de crédito por importe global, aprobación del Consejo de Ministros y tramitación ágil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Línea PYME con </w:t>
      </w:r>
      <w:r>
        <w:rPr>
          <w:rFonts w:ascii="Cambria" w:hAnsi="Cambria" w:cs="Cambria" w:eastAsia="Cambria"/>
          <w:b/>
          <w:sz w:val="22"/>
        </w:rPr>
        <w:t>Egipto y Túnez</w:t>
      </w:r>
      <w:r>
        <w:rPr>
          <w:rFonts w:ascii="Cambria" w:hAnsi="Cambria" w:cs="Cambria" w:eastAsia="Cambria"/>
          <w:sz w:val="22"/>
        </w:rPr>
        <w:t xml:space="preserve"> y cooperación reforzada con </w:t>
      </w:r>
      <w:r>
        <w:rPr>
          <w:rFonts w:ascii="Cambria" w:hAnsi="Cambria" w:cs="Cambria" w:eastAsia="Cambria"/>
          <w:b/>
          <w:sz w:val="22"/>
        </w:rPr>
        <w:t>Marruecos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Criterios de valoración</w:t>
      </w:r>
      <w:r>
        <w:rPr>
          <w:rFonts w:ascii="Cambria" w:hAnsi="Cambria" w:cs="Cambria" w:eastAsia="Cambria"/>
          <w:sz w:val="22"/>
        </w:rPr>
        <w:t xml:space="preserve"> (Líneas Orientativas)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Interés del país, del sector y del proyecto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Efecto de arrastre, con PYME proveedoras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Viabilidad técnica y financiera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Experiencia de la empresa adjudicataria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Solvencia del beneficiario y calidad de garantías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Equilibrio de riesgos de la cartera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Coste de oportunidad y cofinanciación privada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Respeto al </w:t>
      </w:r>
      <w:r>
        <w:rPr>
          <w:rFonts w:ascii="Cambria" w:hAnsi="Cambria" w:cs="Cambria" w:eastAsia="Cambria"/>
          <w:b/>
          <w:sz w:val="22"/>
        </w:rPr>
        <w:t>Consenso OCDE</w:t>
      </w:r>
      <w:r>
        <w:rPr>
          <w:rFonts w:ascii="Cambria" w:hAnsi="Cambria" w:cs="Cambria" w:eastAsia="Cambria"/>
          <w:sz w:val="22"/>
        </w:rPr>
        <w:t xml:space="preserve"> y acuerdos anticorrupción y medioambientales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Prioridades geográficas 2026</w:t>
      </w:r>
      <w:r>
        <w:rPr>
          <w:rFonts w:ascii="Cambria" w:hAnsi="Cambria" w:cs="Cambria" w:eastAsia="Cambria"/>
          <w:sz w:val="22"/>
        </w:rPr>
        <w:t>: orientativas y no excluyentes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América: Brasil, Chile, Colombia, Estados Unidos, México, Perú, Uruguay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Europa: Serbia, Ucrania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Asia y Oceanía: Filipinas, India, Indonesia, Vietnam, Australia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África: Senegal, Mauritania, Angola, Costa de Marfil, Nigeria, Sudáfrica, Tanzania, Uganda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Mediterráneo: Egipto, Marruecos, Túnez, Turquía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Oriente Medio: Arabia Saudí, Emiratos Árabes Unidos, Qatar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Países al corriente de obligaciones financieras con España, salvo atrasos técnicos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HIPC</w:t>
      </w:r>
      <w:r>
        <w:rPr>
          <w:rFonts w:ascii="Cambria" w:hAnsi="Cambria" w:cs="Cambria" w:eastAsia="Cambria"/>
          <w:sz w:val="22"/>
        </w:rPr>
        <w:t>: financiación reembolsable con condiciones específicas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Prioridades sectoriales 2026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Bienes de equipo, energía renovable (eólica y fotovoltaica), agua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Medio ambiente y cambio climático, TIC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Ferrocarril (material rodante y señalización), sector naval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Infraestructuras (equipamiento aeroportuario y portuario)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Educación, salud y nutrición: solo suministro y puesta en marcha de equipamiento con gran efecto de arrastre y contenido tecnológico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MARCO REGULADOR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Ley 11/2010</w:t>
      </w:r>
      <w:r>
        <w:rPr>
          <w:rFonts w:ascii="Cambria" w:hAnsi="Cambria" w:cs="Cambria" w:eastAsia="Cambria"/>
          <w:sz w:val="22"/>
        </w:rPr>
        <w:t>: crea el FIEM en sustitución del FAD y del FEV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Real Decreto 1797/2010</w:t>
      </w:r>
      <w:r>
        <w:rPr>
          <w:rFonts w:ascii="Cambria" w:hAnsi="Cambria" w:cs="Cambria" w:eastAsia="Cambria"/>
          <w:sz w:val="22"/>
        </w:rPr>
        <w:t xml:space="preserve">: Reglamento del FIEM, modificado por el </w:t>
      </w:r>
      <w:r>
        <w:rPr>
          <w:rFonts w:ascii="Cambria" w:hAnsi="Cambria" w:cs="Cambria" w:eastAsia="Cambria"/>
          <w:b/>
          <w:sz w:val="22"/>
        </w:rPr>
        <w:t>Real Decreto 519/2026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FONPRODE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Ley 36/2010</w:t>
      </w:r>
      <w:r>
        <w:rPr>
          <w:rFonts w:ascii="Cambria" w:hAnsi="Cambria" w:cs="Cambria" w:eastAsia="Cambria"/>
          <w:sz w:val="22"/>
        </w:rPr>
        <w:t xml:space="preserve">, cooperación al desarrollo, gestionado por el Ministerio de Asuntos Exteriores, la Secretaría de Estado correspondiente y la </w:t>
      </w:r>
      <w:r>
        <w:rPr>
          <w:rFonts w:ascii="Cambria" w:hAnsi="Cambria" w:cs="Cambria" w:eastAsia="Cambria"/>
          <w:b/>
          <w:sz w:val="22"/>
        </w:rPr>
        <w:t>AECID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Sucedido por el </w:t>
      </w:r>
      <w:r>
        <w:rPr>
          <w:rFonts w:ascii="Cambria" w:hAnsi="Cambria" w:cs="Cambria" w:eastAsia="Cambria"/>
          <w:b/>
          <w:sz w:val="22"/>
        </w:rPr>
        <w:t>FEDES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Ley 1/2023</w:t>
      </w:r>
      <w:r>
        <w:rPr>
          <w:rFonts w:ascii="Cambria" w:hAnsi="Cambria" w:cs="Cambria" w:eastAsia="Cambria"/>
          <w:sz w:val="22"/>
        </w:rPr>
        <w:t xml:space="preserve">, Reglamento por </w:t>
      </w:r>
      <w:r>
        <w:rPr>
          <w:rFonts w:ascii="Cambria" w:hAnsi="Cambria" w:cs="Cambria" w:eastAsia="Cambria"/>
          <w:b/>
          <w:sz w:val="22"/>
        </w:rPr>
        <w:t>Real Decreto 810/2025</w:t>
      </w:r>
      <w:r>
        <w:rPr>
          <w:rFonts w:ascii="Cambria" w:hAnsi="Cambria" w:cs="Cambria" w:eastAsia="Cambria"/>
          <w:sz w:val="22"/>
        </w:rPr>
        <w:t>, gestión de la AECID con el ICO y COFIDES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Contenido de la Ley 11/2010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Arts. 1 y 2</w:t>
      </w:r>
      <w:r>
        <w:rPr>
          <w:rFonts w:ascii="Cambria" w:hAnsi="Cambria" w:cs="Cambria" w:eastAsia="Cambria"/>
          <w:sz w:val="22"/>
        </w:rPr>
        <w:t>: crean el FIEM, gestionado por la Secretaría de Estado de Comercio, para exportación e inversión directa en el exterior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3</w:t>
      </w:r>
      <w:r>
        <w:rPr>
          <w:rFonts w:ascii="Cambria" w:hAnsi="Cambria" w:cs="Cambria" w:eastAsia="Cambria"/>
          <w:sz w:val="22"/>
        </w:rPr>
        <w:t xml:space="preserve"> (principios rectores)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Coherencia e integración con otras políticas públicas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Internacionalización como objeto exclusivo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Coordinación por lealtad institucional (Leyes 39/2015 y 40/2015)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Complementariedad con el mercado privado, nunca sustitutiva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Coherencia con el marco internacional y eficiencia de recursos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4</w:t>
      </w:r>
      <w:r>
        <w:rPr>
          <w:rFonts w:ascii="Cambria" w:hAnsi="Cambria" w:cs="Cambria" w:eastAsia="Cambria"/>
          <w:sz w:val="22"/>
        </w:rPr>
        <w:t xml:space="preserve"> (financiación)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Operaciones de interés especial y asistencias técnicas o consultorías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Préstamos, créditos y líneas de crédito, y no reembolsable en casos justificados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Excluidos con carácter general los servicios sociales básicos (educación, salud, nutrición), con excepciones reglamentarias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Art. 5</w:t>
      </w:r>
      <w:r>
        <w:rPr>
          <w:rFonts w:ascii="Cambria" w:hAnsi="Cambria" w:cs="Cambria" w:eastAsia="Cambria"/>
          <w:sz w:val="22"/>
        </w:rPr>
        <w:t xml:space="preserve"> (beneficiarios y garantías)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Estados, Administraciones públicas extranjeras, instituciones públicas y empresas o consorcios, de países desarrollados o en desarrollo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 xml:space="preserve">Garantía </w:t>
      </w:r>
      <w:r>
        <w:rPr>
          <w:rFonts w:ascii="Cambria" w:hAnsi="Cambria" w:cs="Cambria" w:eastAsia="Cambria"/>
          <w:b/>
          <w:sz w:val="22"/>
        </w:rPr>
        <w:t>soberana</w:t>
      </w:r>
      <w:r>
        <w:rPr>
          <w:rFonts w:ascii="Cambria" w:hAnsi="Cambria" w:cs="Cambria" w:eastAsia="Cambria"/>
          <w:sz w:val="22"/>
        </w:rPr>
        <w:t xml:space="preserve"> o de organismo internacional como regla general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Reglamento admite garantías de Administraciones subestatales, instituciones y empresas con solvencia, con valoración específica del riesgo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Organismos internacionales pueden recibir recursos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b/>
          <w:sz w:val="22"/>
        </w:rPr>
        <w:t>HIPC</w:t>
      </w:r>
      <w:r>
        <w:rPr>
          <w:rFonts w:ascii="Cambria" w:hAnsi="Cambria" w:cs="Cambria" w:eastAsia="Cambria"/>
          <w:sz w:val="22"/>
        </w:rPr>
        <w:t>: limitaciones y excepciones de la Ley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FONDOS COFIDES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COFIDES, S.M.E.</w:t>
      </w:r>
      <w:r>
        <w:rPr>
          <w:rFonts w:ascii="Cambria" w:hAnsi="Cambria" w:cs="Cambria" w:eastAsia="Cambria"/>
          <w:sz w:val="22"/>
        </w:rPr>
        <w:t xml:space="preserve">: sociedad mercantil estatal de </w:t>
      </w:r>
      <w:r>
        <w:rPr>
          <w:rFonts w:ascii="Cambria" w:hAnsi="Cambria" w:cs="Cambria" w:eastAsia="Cambria"/>
          <w:b/>
          <w:sz w:val="22"/>
        </w:rPr>
        <w:t>1988</w:t>
      </w:r>
      <w:r>
        <w:rPr>
          <w:rFonts w:ascii="Cambria" w:hAnsi="Cambria" w:cs="Cambria" w:eastAsia="Cambria"/>
          <w:sz w:val="22"/>
        </w:rPr>
        <w:t>, financia proyectos privados viables de inversión exterior con interés español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Recursos propios y gestión por cuenta del Estado de </w:t>
      </w:r>
      <w:r>
        <w:rPr>
          <w:rFonts w:ascii="Cambria" w:hAnsi="Cambria" w:cs="Cambria" w:eastAsia="Cambria"/>
          <w:b/>
          <w:sz w:val="22"/>
        </w:rPr>
        <w:t>FIEX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FONPYME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Participa en mecanismos de </w:t>
      </w:r>
      <w:r>
        <w:rPr>
          <w:rFonts w:ascii="Cambria" w:hAnsi="Cambria" w:cs="Cambria" w:eastAsia="Cambria"/>
          <w:b/>
          <w:sz w:val="22"/>
        </w:rPr>
        <w:t>blending</w:t>
      </w:r>
      <w:r>
        <w:rPr>
          <w:rFonts w:ascii="Cambria" w:hAnsi="Cambria" w:cs="Cambria" w:eastAsia="Cambria"/>
          <w:sz w:val="22"/>
        </w:rPr>
        <w:t xml:space="preserve"> con fondos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Capital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Público (en torno al </w:t>
      </w:r>
      <w:r>
        <w:rPr>
          <w:rFonts w:ascii="Cambria" w:hAnsi="Cambria" w:cs="Cambria" w:eastAsia="Cambria"/>
          <w:b/>
          <w:sz w:val="22"/>
        </w:rPr>
        <w:t>53%</w:t>
      </w:r>
      <w:r>
        <w:rPr>
          <w:rFonts w:ascii="Cambria" w:hAnsi="Cambria" w:cs="Cambria" w:eastAsia="Cambria"/>
          <w:sz w:val="22"/>
        </w:rPr>
        <w:t xml:space="preserve">): </w:t>
      </w:r>
      <w:r>
        <w:rPr>
          <w:rFonts w:ascii="Cambria" w:hAnsi="Cambria" w:cs="Cambria" w:eastAsia="Cambria"/>
          <w:b/>
          <w:sz w:val="22"/>
        </w:rPr>
        <w:t>ICEX</w:t>
      </w:r>
      <w:r>
        <w:rPr>
          <w:rFonts w:ascii="Cambria" w:hAnsi="Cambria" w:cs="Cambria" w:eastAsia="Cambria"/>
          <w:sz w:val="22"/>
        </w:rPr>
        <w:t xml:space="preserve"> 25,74%, </w:t>
      </w:r>
      <w:r>
        <w:rPr>
          <w:rFonts w:ascii="Cambria" w:hAnsi="Cambria" w:cs="Cambria" w:eastAsia="Cambria"/>
          <w:b/>
          <w:sz w:val="22"/>
        </w:rPr>
        <w:t>ICO</w:t>
      </w:r>
      <w:r>
        <w:rPr>
          <w:rFonts w:ascii="Cambria" w:hAnsi="Cambria" w:cs="Cambria" w:eastAsia="Cambria"/>
          <w:sz w:val="22"/>
        </w:rPr>
        <w:t xml:space="preserve"> 20,31%, </w:t>
      </w:r>
      <w:r>
        <w:rPr>
          <w:rFonts w:ascii="Cambria" w:hAnsi="Cambria" w:cs="Cambria" w:eastAsia="Cambria"/>
          <w:b/>
          <w:sz w:val="22"/>
        </w:rPr>
        <w:t>ENISA</w:t>
      </w:r>
      <w:r>
        <w:rPr>
          <w:rFonts w:ascii="Cambria" w:hAnsi="Cambria" w:cs="Cambria" w:eastAsia="Cambria"/>
          <w:sz w:val="22"/>
        </w:rPr>
        <w:t xml:space="preserve"> 7,63%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Privado: Banco Santander 20,17%, BBVA 16,68%, Banco Sabadell 8,33%, CAF 1,14%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Acreditada para gestionar presupuesto de cooperación de la UE, avanza en la acreditación ante el </w:t>
      </w:r>
      <w:r>
        <w:rPr>
          <w:rFonts w:ascii="Cambria" w:hAnsi="Cambria" w:cs="Cambria" w:eastAsia="Cambria"/>
          <w:b/>
          <w:sz w:val="22"/>
        </w:rPr>
        <w:t>Fondo Verde para el Clima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2023</w:t>
      </w:r>
      <w:r>
        <w:rPr>
          <w:rFonts w:ascii="Cambria" w:hAnsi="Cambria" w:cs="Cambria" w:eastAsia="Cambria"/>
          <w:sz w:val="22"/>
        </w:rPr>
        <w:t xml:space="preserve"> gestiona dos fondos de sentido inverso con fondos del </w:t>
      </w:r>
      <w:r>
        <w:rPr>
          <w:rFonts w:ascii="Cambria" w:hAnsi="Cambria" w:cs="Cambria" w:eastAsia="Cambria"/>
          <w:b/>
          <w:sz w:val="22"/>
        </w:rPr>
        <w:t>PRTR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5.1. Fondo para las Inversiones en el Exterior (FIEX)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Fin: internacionalización de empresas y economía con proyectos de inversión exterior con interés español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Regulación: </w:t>
      </w:r>
      <w:r>
        <w:rPr>
          <w:rFonts w:ascii="Cambria" w:hAnsi="Cambria" w:cs="Cambria" w:eastAsia="Cambria"/>
          <w:b/>
          <w:sz w:val="22"/>
        </w:rPr>
        <w:t>Ley 66/1997</w:t>
      </w:r>
      <w:r>
        <w:rPr>
          <w:rFonts w:ascii="Cambria" w:hAnsi="Cambria" w:cs="Cambria" w:eastAsia="Cambria"/>
          <w:sz w:val="22"/>
        </w:rPr>
        <w:t xml:space="preserve"> y </w:t>
      </w:r>
      <w:r>
        <w:rPr>
          <w:rFonts w:ascii="Cambria" w:hAnsi="Cambria" w:cs="Cambria" w:eastAsia="Cambria"/>
          <w:b/>
          <w:sz w:val="22"/>
        </w:rPr>
        <w:t>Real Decreto 1226/2006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Productos de </w:t>
      </w:r>
      <w:r>
        <w:rPr>
          <w:rFonts w:ascii="Cambria" w:hAnsi="Cambria" w:cs="Cambria" w:eastAsia="Cambria"/>
          <w:b/>
          <w:sz w:val="22"/>
        </w:rPr>
        <w:t>250 mil a 30 millones de euros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Participaciones </w:t>
      </w:r>
      <w:r>
        <w:rPr>
          <w:rFonts w:ascii="Cambria" w:hAnsi="Cambria" w:cs="Cambria" w:eastAsia="Cambria"/>
          <w:b/>
          <w:sz w:val="22"/>
        </w:rPr>
        <w:t>temporales y minoritarias</w:t>
      </w:r>
      <w:r>
        <w:rPr>
          <w:rFonts w:ascii="Cambria" w:hAnsi="Cambria" w:cs="Cambria" w:eastAsia="Cambria"/>
          <w:sz w:val="22"/>
        </w:rPr>
        <w:t>, directas o indirectas, en empresas españolas o del exterior, vehículos de capital expansión y fondos privados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Instrumentos de </w:t>
      </w:r>
      <w:r>
        <w:rPr>
          <w:rFonts w:ascii="Cambria" w:hAnsi="Cambria" w:cs="Cambria" w:eastAsia="Cambria"/>
          <w:b/>
          <w:sz w:val="22"/>
        </w:rPr>
        <w:t>capital y cuasi-capital</w:t>
      </w:r>
      <w:r>
        <w:rPr>
          <w:rFonts w:ascii="Cambria" w:hAnsi="Cambria" w:cs="Cambria" w:eastAsia="Cambria"/>
          <w:sz w:val="22"/>
        </w:rPr>
        <w:t>: capital, préstamos subordinados, participativos o convertibles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Cualquier país excepto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Gestión de COFIDES por cuenta del Estado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5.2. Fondo para Operaciones en el Exterior de PYME (FONPYME)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Fin: internacionalización de </w:t>
      </w:r>
      <w:r>
        <w:rPr>
          <w:rFonts w:ascii="Cambria" w:hAnsi="Cambria" w:cs="Cambria" w:eastAsia="Cambria"/>
          <w:b/>
          <w:sz w:val="22"/>
        </w:rPr>
        <w:t>PYME</w:t>
      </w:r>
      <w:r>
        <w:rPr>
          <w:rFonts w:ascii="Cambria" w:hAnsi="Cambria" w:cs="Cambria" w:eastAsia="Cambria"/>
          <w:sz w:val="22"/>
        </w:rPr>
        <w:t xml:space="preserve"> mediante inversión exterior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Mismas fórmulas que el FIEX: participaciones temporales y minoritarias, fondos y otros instrumentos participativos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Productos de </w:t>
      </w:r>
      <w:r>
        <w:rPr>
          <w:rFonts w:ascii="Cambria" w:hAnsi="Cambria" w:cs="Cambria" w:eastAsia="Cambria"/>
          <w:b/>
          <w:sz w:val="22"/>
        </w:rPr>
        <w:t>75 mil a 5 millones de euros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Cofinancia con COFIDES o, en ciertos supuestos, financia sin COFIDES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Cualquier país, gestión de COFIDES por cuenta del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FIEM frente a FIEX y FONPYME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FIEM: operaciones de exportación e inversión, principalmente reembolsable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FIEX y FONPYME: solo inversión exterior, capital y cuasi-capital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FONPYME: centrado en PYME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5.3. Otros fondos de COFIDES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FOCO</w:t>
      </w:r>
      <w:r>
        <w:rPr>
          <w:rFonts w:ascii="Cambria" w:hAnsi="Cambria" w:cs="Cambria" w:eastAsia="Cambria"/>
          <w:sz w:val="22"/>
        </w:rPr>
        <w:t xml:space="preserve"> (Fondo de Coinversión): </w:t>
      </w:r>
      <w:r>
        <w:rPr>
          <w:rFonts w:ascii="Cambria" w:hAnsi="Cambria" w:cs="Cambria" w:eastAsia="Cambria"/>
          <w:b/>
          <w:sz w:val="22"/>
        </w:rPr>
        <w:t>2.000 millones de euros</w:t>
      </w:r>
      <w:r>
        <w:rPr>
          <w:rFonts w:ascii="Cambria" w:hAnsi="Cambria" w:cs="Cambria" w:eastAsia="Cambria"/>
          <w:sz w:val="22"/>
        </w:rPr>
        <w:t>, atrae inversión extranjera a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FIS</w:t>
      </w:r>
      <w:r>
        <w:rPr>
          <w:rFonts w:ascii="Cambria" w:hAnsi="Cambria" w:cs="Cambria" w:eastAsia="Cambria"/>
          <w:sz w:val="22"/>
        </w:rPr>
        <w:t xml:space="preserve"> (Fondo de Impacto Social): </w:t>
      </w:r>
      <w:r>
        <w:rPr>
          <w:rFonts w:ascii="Cambria" w:hAnsi="Cambria" w:cs="Cambria" w:eastAsia="Cambria"/>
          <w:b/>
          <w:sz w:val="22"/>
        </w:rPr>
        <w:t>400 millones de euros</w:t>
      </w:r>
      <w:r>
        <w:rPr>
          <w:rFonts w:ascii="Cambria" w:hAnsi="Cambria" w:cs="Cambria" w:eastAsia="Cambria"/>
          <w:sz w:val="22"/>
        </w:rPr>
        <w:t>, impacto social y medioambiental en España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Ambos con recursos del </w:t>
      </w:r>
      <w:r>
        <w:rPr>
          <w:rFonts w:ascii="Cambria" w:hAnsi="Cambria" w:cs="Cambria" w:eastAsia="Cambria"/>
          <w:b/>
          <w:sz w:val="22"/>
        </w:rPr>
        <w:t>PRTR</w:t>
      </w:r>
      <w:r>
        <w:rPr>
          <w:rFonts w:ascii="Cambria" w:hAnsi="Cambria" w:cs="Cambria" w:eastAsia="Cambria"/>
          <w:sz w:val="22"/>
        </w:rPr>
        <w:t>, fuera del núcleo del tema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En </w:t>
      </w:r>
      <w:r>
        <w:rPr>
          <w:rFonts w:ascii="Cambria" w:hAnsi="Cambria" w:cs="Cambria" w:eastAsia="Cambria"/>
          <w:b/>
          <w:sz w:val="22"/>
        </w:rPr>
        <w:t>2026</w:t>
      </w:r>
      <w:r>
        <w:rPr>
          <w:rFonts w:ascii="Cambria" w:hAnsi="Cambria" w:cs="Cambria" w:eastAsia="Cambria"/>
          <w:sz w:val="22"/>
        </w:rPr>
        <w:t xml:space="preserve"> culminó la fase de inversión de ambos, con dotaciones comprometidas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FIEM</w:t>
      </w:r>
      <w:r>
        <w:rPr>
          <w:rFonts w:ascii="Cambria" w:hAnsi="Cambria" w:cs="Cambria" w:eastAsia="Cambria"/>
          <w:sz w:val="22"/>
        </w:rPr>
        <w:t>: principal instrumento público de financiación directa de exportación e inversión exterior, principalmente reembolsable, con atención al efecto de arrastre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Evolución del FAD: separación entre internacionalización y cooperación al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2025: límite de </w:t>
      </w:r>
      <w:r>
        <w:rPr>
          <w:rFonts w:ascii="Cambria" w:hAnsi="Cambria" w:cs="Cambria" w:eastAsia="Cambria"/>
          <w:b/>
          <w:sz w:val="22"/>
        </w:rPr>
        <w:t>500 a 700 millones de euros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2026: refuerzo para la reconstrucción de </w:t>
      </w:r>
      <w:r>
        <w:rPr>
          <w:rFonts w:ascii="Cambria" w:hAnsi="Cambria" w:cs="Cambria" w:eastAsia="Cambria"/>
          <w:b/>
          <w:sz w:val="22"/>
        </w:rPr>
        <w:t>Ucrania</w:t>
      </w:r>
      <w:r>
        <w:rPr>
          <w:rFonts w:ascii="Cambria" w:hAnsi="Cambria" w:cs="Cambria" w:eastAsia="Cambria"/>
          <w:sz w:val="22"/>
        </w:rPr>
        <w:t xml:space="preserve"> con la modificación del Reglamento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COFIDES</w:t>
      </w:r>
      <w:r>
        <w:rPr>
          <w:rFonts w:ascii="Cambria" w:hAnsi="Cambria" w:cs="Cambria" w:eastAsia="Cambria"/>
          <w:sz w:val="22"/>
        </w:rPr>
        <w:t xml:space="preserve"> completa el sistema con </w:t>
      </w:r>
      <w:r>
        <w:rPr>
          <w:rFonts w:ascii="Cambria" w:hAnsi="Cambria" w:cs="Cambria" w:eastAsia="Cambria"/>
          <w:b/>
          <w:sz w:val="22"/>
        </w:rPr>
        <w:t>FIEX</w:t>
      </w:r>
      <w:r>
        <w:rPr>
          <w:rFonts w:ascii="Cambria" w:hAnsi="Cambria" w:cs="Cambria" w:eastAsia="Cambria"/>
          <w:sz w:val="22"/>
        </w:rPr>
        <w:t xml:space="preserve"> (capital y cuasi-capital) y </w:t>
      </w:r>
      <w:r>
        <w:rPr>
          <w:rFonts w:ascii="Cambria" w:hAnsi="Cambria" w:cs="Cambria" w:eastAsia="Cambria"/>
          <w:b/>
          <w:sz w:val="22"/>
        </w:rPr>
        <w:t>FONPYME</w:t>
      </w:r>
      <w:r>
        <w:rPr>
          <w:rFonts w:ascii="Cambria" w:hAnsi="Cambria" w:cs="Cambria" w:eastAsia="Cambria"/>
          <w:sz w:val="22"/>
        </w:rPr>
        <w:t xml:space="preserve"> (PYME)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Cubre la financiación de la exportación y la implantación e inversión en mercados exteriores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9 – Instrumentos financieros de apoyo a la internacionalización (III). El FIEM.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9 – Instrumentos financieros de apoyo a la internacionalización (III). El FIEM.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