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footer1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>
        <w:rPr>
          <w:rFonts w:ascii="Cambria" w:hAnsi="Cambria"/>
          <w:b/>
          <w:bCs/>
          <w:color w:val="auto"/>
          <w:sz w:val="28"/>
          <w:szCs w:val="28"/>
        </w:rPr>
        <w:t xml:space="preserve">1. INTRODUCCIÓN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Sector estratégico de la industria agroalimentaria española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Según </w:t>
      </w:r>
      <w:r>
        <w:rPr>
          <w:rFonts w:ascii="Cambria" w:hAnsi="Cambria"/>
          <w:b/>
          <w:bCs/>
        </w:rPr>
        <w:t xml:space="preserve">DATACOMEX</w:t>
      </w:r>
      <w:r>
        <w:rPr>
          <w:rFonts w:ascii="Cambria" w:hAnsi="Cambria"/>
        </w:rPr>
        <w:t xml:space="preserve">, en </w:t>
      </w:r>
      <w:r>
        <w:rPr>
          <w:rFonts w:ascii="Cambria" w:hAnsi="Cambria"/>
          <w:b/>
          <w:bCs/>
        </w:rPr>
        <w:t xml:space="preserve">2025</w:t>
      </w:r>
      <w:r>
        <w:rPr>
          <w:rFonts w:ascii="Cambria" w:hAnsi="Cambria"/>
        </w:rPr>
        <w:t xml:space="preserve"> las frutas alcanzaron </w:t>
      </w:r>
      <w:r>
        <w:rPr>
          <w:rFonts w:ascii="Cambria" w:hAnsi="Cambria"/>
          <w:b/>
          <w:bCs/>
        </w:rPr>
        <w:t xml:space="preserve">11.917,8 millones de euros</w:t>
      </w:r>
      <w:r>
        <w:rPr>
          <w:rFonts w:ascii="Cambria" w:hAnsi="Cambria"/>
        </w:rPr>
        <w:t xml:space="preserve">, un </w:t>
      </w:r>
      <w:r>
        <w:rPr>
          <w:rFonts w:ascii="Cambria" w:hAnsi="Cambria"/>
          <w:b/>
          <w:bCs/>
        </w:rPr>
        <w:t xml:space="preserve">+9,7%</w:t>
      </w:r>
      <w:r>
        <w:rPr>
          <w:rFonts w:ascii="Cambria" w:hAnsi="Cambria"/>
        </w:rPr>
        <w:t xml:space="preserve"> respecto a </w:t>
      </w:r>
      <w:r>
        <w:rPr>
          <w:rFonts w:ascii="Cambria" w:hAnsi="Cambria"/>
          <w:b/>
          <w:bCs/>
        </w:rPr>
        <w:t xml:space="preserve">2024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Representan el </w:t>
      </w:r>
      <w:r>
        <w:rPr>
          <w:rFonts w:ascii="Cambria" w:hAnsi="Cambria"/>
          <w:b/>
          <w:bCs/>
        </w:rPr>
        <w:t xml:space="preserve">15,5%</w:t>
      </w:r>
      <w:r>
        <w:rPr>
          <w:rFonts w:ascii="Cambria" w:hAnsi="Cambria"/>
        </w:rPr>
        <w:t xml:space="preserve"> de las exportaciones agroalimentarias totales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Encuadre institucional: </w:t>
      </w:r>
      <w:r>
        <w:rPr>
          <w:rFonts w:ascii="Cambria" w:hAnsi="Cambria"/>
          <w:b/>
          <w:bCs/>
        </w:rPr>
        <w:t xml:space="preserve">Plan de Internacionalización del Sector Agroalimentario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Ejecutado a través del </w:t>
      </w:r>
      <w:r>
        <w:rPr>
          <w:rFonts w:ascii="Cambria" w:hAnsi="Cambria"/>
          <w:b/>
          <w:bCs/>
        </w:rPr>
        <w:t xml:space="preserve">Grupo de Trabajo para la Internacionalización del Sector Agroalimentario (GTISA)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Presidido por la </w:t>
      </w:r>
      <w:r>
        <w:rPr>
          <w:rFonts w:ascii="Cambria" w:hAnsi="Cambria"/>
          <w:b/>
          <w:bCs/>
        </w:rPr>
        <w:t xml:space="preserve">Secretaría General de Agricultura y Alimentación</w:t>
      </w:r>
      <w:r>
        <w:rPr>
          <w:rFonts w:ascii="Cambria" w:hAnsi="Cambria"/>
        </w:rPr>
        <w:t xml:space="preserve"> del </w:t>
      </w:r>
      <w:r>
        <w:rPr>
          <w:rFonts w:ascii="Cambria" w:hAnsi="Cambria"/>
          <w:b/>
          <w:bCs/>
        </w:rPr>
        <w:t xml:space="preserve">MAPA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Uno de sus siete grupos se dedica a frutas y hortalizas: eliminar barreras comerciales, consolidar mercados y abrir nuevos destinos, mejorar la coordinación institucional, impulsar la información sobre internacionalización, aumentar la dimensión empresarial, promover los productos españoles y adaptar la oferta a cada mercado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Estructura del tema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Descripción y designación de los principales productos: frutas de hueso, de pepita, otras frutas y tropicales/subtropicales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Factores de calidad comercial: características generales mínimas y parámetros de calidad comercial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Normativa aplicable: </w:t>
      </w:r>
      <w:r>
        <w:rPr>
          <w:rFonts w:ascii="Cambria" w:hAnsi="Cambria"/>
          <w:b/>
          <w:bCs/>
        </w:rPr>
        <w:t xml:space="preserve">OCM</w:t>
      </w:r>
      <w:r>
        <w:rPr>
          <w:rFonts w:ascii="Cambria" w:hAnsi="Cambria"/>
        </w:rPr>
        <w:t xml:space="preserve">, Normas de Comercialización de la UE, Normas </w:t>
      </w:r>
      <w:r>
        <w:rPr>
          <w:rFonts w:ascii="Cambria" w:hAnsi="Cambria"/>
          <w:b/>
          <w:bCs/>
        </w:rPr>
        <w:t xml:space="preserve">CEPE/UN</w:t>
      </w:r>
      <w:r>
        <w:rPr>
          <w:rFonts w:ascii="Cambria" w:hAnsi="Cambria"/>
        </w:rPr>
        <w:t xml:space="preserve">, Normas </w:t>
      </w:r>
      <w:r>
        <w:rPr>
          <w:rFonts w:ascii="Cambria" w:hAnsi="Cambria"/>
          <w:b/>
          <w:bCs/>
        </w:rPr>
        <w:t xml:space="preserve">CODEX</w:t>
      </w:r>
      <w:r>
        <w:rPr>
          <w:rFonts w:ascii="Cambria" w:hAnsi="Cambria"/>
        </w:rPr>
        <w:t xml:space="preserve">, Folletos Interpretativos de la </w:t>
      </w:r>
      <w:r>
        <w:rPr>
          <w:rFonts w:ascii="Cambria" w:hAnsi="Cambria"/>
          <w:b/>
          <w:bCs/>
        </w:rPr>
        <w:t xml:space="preserve">OCDE</w:t>
      </w:r>
      <w:r>
        <w:rPr>
          <w:rFonts w:ascii="Cambria" w:hAnsi="Cambria"/>
        </w:rPr>
        <w:t xml:space="preserve">, Producción Controlada (Normas </w:t>
      </w:r>
      <w:r>
        <w:rPr>
          <w:rFonts w:ascii="Cambria" w:hAnsi="Cambria"/>
          <w:b/>
          <w:bCs/>
        </w:rPr>
        <w:t xml:space="preserve">UNE</w:t>
      </w:r>
      <w:r>
        <w:rPr>
          <w:rFonts w:ascii="Cambria" w:hAnsi="Cambria"/>
        </w:rPr>
        <w:t xml:space="preserve">), Producción Ecológica, Producción Integrada y Legislación General</w:t>
      </w:r>
    </w:p>
    <w:p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>
        <w:rPr>
          <w:rFonts w:ascii="Cambria" w:hAnsi="Cambria"/>
          <w:b/>
          <w:bCs/>
          <w:color w:val="auto"/>
          <w:sz w:val="28"/>
          <w:szCs w:val="28"/>
        </w:rPr>
        <w:t xml:space="preserve">2. DESCRIPCIÓN Y DESIGNACIÓN DE LOS PRINCIPALES PRODUCTOS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2.1. Frutas de hueso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Familia </w:t>
      </w:r>
      <w:r>
        <w:rPr>
          <w:rFonts w:ascii="Cambria" w:hAnsi="Cambria"/>
          <w:b/>
          <w:bCs/>
        </w:rPr>
        <w:t xml:space="preserve">Rosáceas</w:t>
      </w:r>
      <w:r>
        <w:rPr>
          <w:rFonts w:ascii="Cambria" w:hAnsi="Cambria"/>
        </w:rPr>
        <w:t xml:space="preserve">, género </w:t>
      </w:r>
      <w:r>
        <w:rPr>
          <w:rFonts w:ascii="Cambria" w:hAnsi="Cambria"/>
          <w:b/>
          <w:bCs/>
        </w:rPr>
        <w:t xml:space="preserve">Prunus</w:t>
      </w:r>
      <w:r>
        <w:rPr>
          <w:rFonts w:ascii="Cambria" w:hAnsi="Cambria"/>
        </w:rPr>
        <w:t xml:space="preserve">, drupas indehiscentes con mesocarpio (pulpa) y endocarpio lignificado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Melocotón</w:t>
      </w:r>
      <w:r>
        <w:rPr>
          <w:rFonts w:ascii="Cambria" w:hAnsi="Cambria"/>
        </w:rPr>
        <w:t xml:space="preserve"> (*Prunus persica*): fruta de hueso de mayor producción mundial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Pulpa blanca: María Blanca, Large White, María Delicia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Pulpa amarilla: Sudanell, Calanda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Nectarina</w:t>
      </w:r>
      <w:r>
        <w:rPr>
          <w:rFonts w:ascii="Cambria" w:hAnsi="Cambria"/>
        </w:rPr>
        <w:t xml:space="preserve"> (var. *Nectarina*): piel lisa, mayor firmeza, apta para exportación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Paraguayo</w:t>
      </w:r>
      <w:r>
        <w:rPr>
          <w:rFonts w:ascii="Cambria" w:hAnsi="Cambria"/>
        </w:rPr>
        <w:t xml:space="preserve"> (var. *Platycarpa*): forma aplastada, muy dulce y de escasa acidez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Albaricoque</w:t>
      </w:r>
      <w:r>
        <w:rPr>
          <w:rFonts w:ascii="Cambria" w:hAnsi="Cambria"/>
        </w:rPr>
        <w:t xml:space="preserve"> (*Prunus armeniaca*): maduración temprana, rico en betacarotenos y vitamina A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Ciruela</w:t>
      </w:r>
      <w:r>
        <w:rPr>
          <w:rFonts w:ascii="Cambria" w:hAnsi="Cambria"/>
        </w:rPr>
        <w:t xml:space="preserve"> (*Prunus domestica*): mayor diversidad varietal del grupo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Cereza</w:t>
      </w:r>
      <w:r>
        <w:rPr>
          <w:rFonts w:ascii="Cambria" w:hAnsi="Cambria"/>
        </w:rPr>
        <w:t xml:space="preserve"> (*Prunus avium*): temporada corta (mayo-julio), rica en antocianinas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Análisis sectorial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Principales productores: </w:t>
      </w:r>
      <w:r>
        <w:rPr>
          <w:rFonts w:ascii="Cambria" w:hAnsi="Cambria"/>
          <w:b/>
          <w:bCs/>
        </w:rPr>
        <w:t xml:space="preserve">China, EEUU, España e Italia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En España: cuenca mediterránea (Cataluña, Alicante, Murcia) y Andalucía (Huelva, Almería)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Productos perecederos con escasa capacidad de conservación frigorífica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Exportaciones de melocotón y nectarina en 2025: </w:t>
      </w:r>
      <w:r>
        <w:rPr>
          <w:rFonts w:ascii="Cambria" w:hAnsi="Cambria"/>
          <w:b/>
          <w:bCs/>
        </w:rPr>
        <w:t xml:space="preserve">1.243,5 M€</w:t>
      </w:r>
      <w:r>
        <w:rPr>
          <w:rFonts w:ascii="Cambria" w:hAnsi="Cambria"/>
        </w:rPr>
        <w:t xml:space="preserve"> (</w:t>
      </w:r>
      <w:r>
        <w:rPr>
          <w:rFonts w:ascii="Cambria" w:hAnsi="Cambria"/>
          <w:b/>
          <w:bCs/>
        </w:rPr>
        <w:t xml:space="preserve">+10,7%</w:t>
      </w:r>
      <w:r>
        <w:rPr>
          <w:rFonts w:ascii="Cambria" w:hAnsi="Cambria"/>
        </w:rPr>
        <w:t xml:space="preserve">), dirigidas principalmente a la UE (Alemania, Países Bajos) y, entre terceros, Reino Unido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Importaciones testimoniales desde Marruecos, Chile y Grecia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Tercera fruta más exportada, por detrás de cítricos y frutos rojos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2.2. Frutas de pepita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Familia </w:t>
      </w:r>
      <w:r>
        <w:rPr>
          <w:rFonts w:ascii="Cambria" w:hAnsi="Cambria"/>
          <w:b/>
          <w:bCs/>
        </w:rPr>
        <w:t xml:space="preserve">Rosáceas</w:t>
      </w:r>
      <w:r>
        <w:rPr>
          <w:rFonts w:ascii="Cambria" w:hAnsi="Cambria"/>
        </w:rPr>
        <w:t xml:space="preserve">, géneros </w:t>
      </w:r>
      <w:r>
        <w:rPr>
          <w:rFonts w:ascii="Cambria" w:hAnsi="Cambria"/>
          <w:b/>
          <w:bCs/>
        </w:rPr>
        <w:t xml:space="preserve">Malus</w:t>
      </w:r>
      <w:r>
        <w:rPr>
          <w:rFonts w:ascii="Cambria" w:hAnsi="Cambria"/>
        </w:rPr>
        <w:t xml:space="preserve"> y </w:t>
      </w:r>
      <w:r>
        <w:rPr>
          <w:rFonts w:ascii="Cambria" w:hAnsi="Cambria"/>
          <w:b/>
          <w:bCs/>
        </w:rPr>
        <w:t xml:space="preserve">Pyrus</w:t>
      </w:r>
      <w:r>
        <w:rPr>
          <w:rFonts w:ascii="Cambria" w:hAnsi="Cambria"/>
        </w:rPr>
        <w:t xml:space="preserve">, cáscara menos dura y varias semillas pequeñas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Manzana</w:t>
      </w:r>
      <w:r>
        <w:rPr>
          <w:rFonts w:ascii="Cambria" w:hAnsi="Cambria"/>
        </w:rPr>
        <w:t xml:space="preserve"> (*Malus domestica*): fruto climatérico, buena aptitud para atmósfera controlada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Pera</w:t>
      </w:r>
      <w:r>
        <w:rPr>
          <w:rFonts w:ascii="Cambria" w:hAnsi="Cambria"/>
        </w:rPr>
        <w:t xml:space="preserve"> (*Pyrus communis*): segunda especie de pepita en importancia mundial tras la manzana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Análisis sectorial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Principales productores: </w:t>
      </w:r>
      <w:r>
        <w:rPr>
          <w:rFonts w:ascii="Cambria" w:hAnsi="Cambria"/>
          <w:b/>
          <w:bCs/>
        </w:rPr>
        <w:t xml:space="preserve">China, UE y EEUU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Manzana: exportaciones </w:t>
      </w:r>
      <w:r>
        <w:rPr>
          <w:rFonts w:ascii="Cambria" w:hAnsi="Cambria"/>
          <w:b/>
          <w:bCs/>
        </w:rPr>
        <w:t xml:space="preserve">102 M€</w:t>
      </w:r>
      <w:r>
        <w:rPr>
          <w:rFonts w:ascii="Cambria" w:hAnsi="Cambria"/>
        </w:rPr>
        <w:t xml:space="preserve"> (</w:t>
      </w:r>
      <w:r>
        <w:rPr>
          <w:rFonts w:ascii="Cambria" w:hAnsi="Cambria"/>
          <w:b/>
          <w:bCs/>
        </w:rPr>
        <w:t xml:space="preserve">+2,5%</w:t>
      </w:r>
      <w:r>
        <w:rPr>
          <w:rFonts w:ascii="Cambria" w:hAnsi="Cambria"/>
        </w:rPr>
        <w:t xml:space="preserve">), </w:t>
      </w:r>
      <w:r>
        <w:rPr>
          <w:rFonts w:ascii="Cambria" w:hAnsi="Cambria"/>
          <w:b/>
          <w:bCs/>
        </w:rPr>
        <w:t xml:space="preserve">65,2%</w:t>
      </w:r>
      <w:r>
        <w:rPr>
          <w:rFonts w:ascii="Cambria" w:hAnsi="Cambria"/>
        </w:rPr>
        <w:t xml:space="preserve"> a extracomunitarios (Reino Unido, Brasil, Colombia, EAU). Importaciones </w:t>
      </w:r>
      <w:r>
        <w:rPr>
          <w:rFonts w:ascii="Cambria" w:hAnsi="Cambria"/>
          <w:b/>
          <w:bCs/>
        </w:rPr>
        <w:t xml:space="preserve">219,7 M€</w:t>
      </w:r>
      <w:r>
        <w:rPr>
          <w:rFonts w:ascii="Cambria" w:hAnsi="Cambria"/>
        </w:rPr>
        <w:t xml:space="preserve"> (</w:t>
      </w:r>
      <w:r>
        <w:rPr>
          <w:rFonts w:ascii="Cambria" w:hAnsi="Cambria"/>
          <w:b/>
          <w:bCs/>
        </w:rPr>
        <w:t xml:space="preserve">+7,2%</w:t>
      </w:r>
      <w:r>
        <w:rPr>
          <w:rFonts w:ascii="Cambria" w:hAnsi="Cambria"/>
        </w:rPr>
        <w:t xml:space="preserve">), casi todas de la UE (Italia, Francia, Portugal) y Chile entre terceros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Pera: exportaciones </w:t>
      </w:r>
      <w:r>
        <w:rPr>
          <w:rFonts w:ascii="Cambria" w:hAnsi="Cambria"/>
          <w:b/>
          <w:bCs/>
        </w:rPr>
        <w:t xml:space="preserve">99,6 M€</w:t>
      </w:r>
      <w:r>
        <w:rPr>
          <w:rFonts w:ascii="Cambria" w:hAnsi="Cambria"/>
        </w:rPr>
        <w:t xml:space="preserve"> (</w:t>
      </w:r>
      <w:r>
        <w:rPr>
          <w:rFonts w:ascii="Cambria" w:hAnsi="Cambria"/>
          <w:b/>
          <w:bCs/>
        </w:rPr>
        <w:t xml:space="preserve">+6,3%</w:t>
      </w:r>
      <w:r>
        <w:rPr>
          <w:rFonts w:ascii="Cambria" w:hAnsi="Cambria"/>
        </w:rPr>
        <w:t xml:space="preserve">), </w:t>
      </w:r>
      <w:r>
        <w:rPr>
          <w:rFonts w:ascii="Cambria" w:hAnsi="Cambria"/>
          <w:b/>
          <w:bCs/>
        </w:rPr>
        <w:t xml:space="preserve">41,2%</w:t>
      </w:r>
      <w:r>
        <w:rPr>
          <w:rFonts w:ascii="Cambria" w:hAnsi="Cambria"/>
        </w:rPr>
        <w:t xml:space="preserve"> a extracomunitarios. Importaciones </w:t>
      </w:r>
      <w:r>
        <w:rPr>
          <w:rFonts w:ascii="Cambria" w:hAnsi="Cambria"/>
          <w:b/>
          <w:bCs/>
        </w:rPr>
        <w:t xml:space="preserve">85,5 M€</w:t>
      </w:r>
      <w:r>
        <w:rPr>
          <w:rFonts w:ascii="Cambria" w:hAnsi="Cambria"/>
        </w:rPr>
        <w:t xml:space="preserve"> (</w:t>
      </w:r>
      <w:r>
        <w:rPr>
          <w:rFonts w:ascii="Cambria" w:hAnsi="Cambria"/>
          <w:b/>
          <w:bCs/>
        </w:rPr>
        <w:t xml:space="preserve">+8,1%</w:t>
      </w:r>
      <w:r>
        <w:rPr>
          <w:rFonts w:ascii="Cambria" w:hAnsi="Cambria"/>
        </w:rPr>
        <w:t xml:space="preserve">), de Bélgica y Países Bajos, y Chile entre terceros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Sector tradicionalmente deficitario, aunque con superávits en algunos ejercicios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Las importaciones representan un </w:t>
      </w:r>
      <w:r>
        <w:rPr>
          <w:rFonts w:ascii="Cambria" w:hAnsi="Cambria"/>
          <w:b/>
          <w:bCs/>
        </w:rPr>
        <w:t xml:space="preserve">6,8%</w:t>
      </w:r>
      <w:r>
        <w:rPr>
          <w:rFonts w:ascii="Cambria" w:hAnsi="Cambria"/>
        </w:rPr>
        <w:t xml:space="preserve"> de las importaciones totales de frutas frescas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2.3. Otras frutas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Fresa/fresón</w:t>
      </w:r>
      <w:r>
        <w:rPr>
          <w:rFonts w:ascii="Cambria" w:hAnsi="Cambria"/>
        </w:rPr>
        <w:t xml:space="preserve"> (*Fragaria*): Camarosa (</w:t>
      </w:r>
      <w:r>
        <w:rPr>
          <w:rFonts w:ascii="Cambria" w:hAnsi="Cambria"/>
          <w:b/>
          <w:bCs/>
        </w:rPr>
        <w:t xml:space="preserve">98%</w:t>
      </w:r>
      <w:r>
        <w:rPr>
          <w:rFonts w:ascii="Cambria" w:hAnsi="Cambria"/>
        </w:rPr>
        <w:t xml:space="preserve"> de la producción en Huelva), Elsanta para el resto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Uva de mesa</w:t>
      </w:r>
      <w:r>
        <w:rPr>
          <w:rFonts w:ascii="Cambria" w:hAnsi="Cambria"/>
        </w:rPr>
        <w:t xml:space="preserve"> (*Vitis vinifera*): predominan variedades apirenas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Melón</w:t>
      </w:r>
      <w:r>
        <w:rPr>
          <w:rFonts w:ascii="Cambria" w:hAnsi="Cambria"/>
        </w:rPr>
        <w:t xml:space="preserve"> (*Cucumis melo*): amarillo (Amarillo Canario, Amarillo Oro, Galia) y verde español (Piel de Sapo, Rochet, Cantaloup)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Sandía</w:t>
      </w:r>
      <w:r>
        <w:rPr>
          <w:rFonts w:ascii="Cambria" w:hAnsi="Cambria"/>
        </w:rPr>
        <w:t xml:space="preserve"> (*Citrullus lanatus*): mayor contenido en agua de las cucurbitáceas (</w:t>
      </w:r>
      <w:r>
        <w:rPr>
          <w:rFonts w:ascii="Cambria" w:hAnsi="Cambria"/>
          <w:b/>
          <w:bCs/>
        </w:rPr>
        <w:t xml:space="preserve">90%</w:t>
      </w:r>
      <w:r>
        <w:rPr>
          <w:rFonts w:ascii="Cambria" w:hAnsi="Cambria"/>
        </w:rPr>
        <w:t xml:space="preserve">), tipos Sugar Baby y Crimson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Análisis sectorial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Fresa: EEUU, China y España (Huelva). Importaciones </w:t>
      </w:r>
      <w:r>
        <w:rPr>
          <w:rFonts w:ascii="Cambria" w:hAnsi="Cambria"/>
          <w:b/>
          <w:bCs/>
        </w:rPr>
        <w:t xml:space="preserve">37,5 M€</w:t>
      </w:r>
      <w:r>
        <w:rPr>
          <w:rFonts w:ascii="Cambria" w:hAnsi="Cambria"/>
        </w:rPr>
        <w:t xml:space="preserve">, </w:t>
      </w:r>
      <w:r>
        <w:rPr>
          <w:rFonts w:ascii="Cambria" w:hAnsi="Cambria"/>
          <w:b/>
          <w:bCs/>
        </w:rPr>
        <w:t xml:space="preserve">66%</w:t>
      </w:r>
      <w:r>
        <w:rPr>
          <w:rFonts w:ascii="Cambria" w:hAnsi="Cambria"/>
        </w:rPr>
        <w:t xml:space="preserve"> desde Marruecos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Uva de mesa: Italia, Francia, España y EEUU. Importaciones </w:t>
      </w:r>
      <w:r>
        <w:rPr>
          <w:rFonts w:ascii="Cambria" w:hAnsi="Cambria"/>
          <w:b/>
          <w:bCs/>
        </w:rPr>
        <w:t xml:space="preserve">245 M€</w:t>
      </w:r>
      <w:r>
        <w:rPr>
          <w:rFonts w:ascii="Cambria" w:hAnsi="Cambria"/>
        </w:rPr>
        <w:t xml:space="preserve"> (Perú, Chile, Italia)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Melón: China, EEUU y España. España </w:t>
      </w:r>
      <w:r>
        <w:rPr>
          <w:rFonts w:ascii="Cambria" w:hAnsi="Cambria"/>
          <w:b/>
          <w:bCs/>
        </w:rPr>
        <w:t xml:space="preserve">71%</w:t>
      </w:r>
      <w:r>
        <w:rPr>
          <w:rFonts w:ascii="Cambria" w:hAnsi="Cambria"/>
        </w:rPr>
        <w:t xml:space="preserve"> de las exportaciones intra-UE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Sandía: China, seguida de Turquía, Irán y Brasil. Importaciones desde Marruecos y Senegal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Exportaciones dirigidas casi en su totalidad a la UE (Francia, Alemania, Italia), y la uva también a Reino Unido, Canadá y EEUU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Fresa: </w:t>
      </w:r>
      <w:r>
        <w:rPr>
          <w:rFonts w:ascii="Cambria" w:hAnsi="Cambria"/>
          <w:b/>
          <w:bCs/>
        </w:rPr>
        <w:t xml:space="preserve">11%</w:t>
      </w:r>
      <w:r>
        <w:rPr>
          <w:rFonts w:ascii="Cambria" w:hAnsi="Cambria"/>
        </w:rPr>
        <w:t xml:space="preserve"> de las exportaciones de frutas frescas. Melón y sandía: </w:t>
      </w:r>
      <w:r>
        <w:rPr>
          <w:rFonts w:ascii="Cambria" w:hAnsi="Cambria"/>
          <w:b/>
          <w:bCs/>
        </w:rPr>
        <w:t xml:space="preserve">13%</w:t>
      </w:r>
      <w:r>
        <w:rPr>
          <w:rFonts w:ascii="Cambria" w:hAnsi="Cambria"/>
        </w:rPr>
        <w:t xml:space="preserve"> conjuntamente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2.4. Frutas tropicales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Sensibles a temperaturas inferiores a </w:t>
      </w:r>
      <w:r>
        <w:rPr>
          <w:rFonts w:ascii="Cambria" w:hAnsi="Cambria"/>
          <w:b/>
          <w:bCs/>
        </w:rPr>
        <w:t xml:space="preserve">4ºC</w:t>
      </w:r>
      <w:r>
        <w:rPr>
          <w:rFonts w:ascii="Cambria" w:hAnsi="Cambria"/>
        </w:rPr>
        <w:t xml:space="preserve">, precio elevado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Plátano</w:t>
      </w:r>
      <w:r>
        <w:rPr>
          <w:rFonts w:ascii="Cambria" w:hAnsi="Cambria"/>
        </w:rPr>
        <w:t xml:space="preserve"> (*Musa acuminata*, grupo Cavendish): normas específicas antes reguladas por el </w:t>
      </w:r>
      <w:r>
        <w:rPr>
          <w:rFonts w:ascii="Cambria" w:hAnsi="Cambria"/>
          <w:b/>
          <w:bCs/>
        </w:rPr>
        <w:t xml:space="preserve">Reglamento Delegado (UE) 2023/2429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Variedades: Gros Michel (trópicos americanos, prácticamente desaparecida por *Fusarium oxysporum*), Pequeña y Gran Enana (Canarias)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Mango</w:t>
      </w:r>
      <w:r>
        <w:rPr>
          <w:rFonts w:ascii="Cambria" w:hAnsi="Cambria"/>
        </w:rPr>
        <w:t xml:space="preserve"> (*Mangifera indica*): cultivares indios, indochinos/filipinos y de Florida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Piña</w:t>
      </w:r>
      <w:r>
        <w:rPr>
          <w:rFonts w:ascii="Cambria" w:hAnsi="Cambria"/>
        </w:rPr>
        <w:t xml:space="preserve"> (*Ananas comosus*): rica en bromelina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Aguacate</w:t>
      </w:r>
      <w:r>
        <w:rPr>
          <w:rFonts w:ascii="Cambria" w:hAnsi="Cambria"/>
        </w:rPr>
        <w:t xml:space="preserve"> (*Persea americana*): variedades españolas Bacon, Fuerte y Hass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Kiwi</w:t>
      </w:r>
      <w:r>
        <w:rPr>
          <w:rFonts w:ascii="Cambria" w:hAnsi="Cambria"/>
        </w:rPr>
        <w:t xml:space="preserve"> (*Actinidia chinensis*): mayor vitamina C que la naranja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Análisis sectorial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Plátano: Brasil, Filipinas, India, Colombia y Uganda, procedentes en la UE mayoritariamente de Canarias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Mango: India como productor pero México como exportador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Piña: Costa Rica, Filipinas y Brasil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Aguacate: México, EEUU e Israel, y en la UE, Canarias, Granada y Málaga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Kiwi: Nueva Zelanda, EEUU, Italia y Chile, y en España Canarias, Rías Baixas y cornisa Cantábrica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Plátano: exportaciones </w:t>
      </w:r>
      <w:r>
        <w:rPr>
          <w:rFonts w:ascii="Cambria" w:hAnsi="Cambria"/>
          <w:b/>
          <w:bCs/>
        </w:rPr>
        <w:t xml:space="preserve">92,4 M€</w:t>
      </w:r>
      <w:r>
        <w:rPr>
          <w:rFonts w:ascii="Cambria" w:hAnsi="Cambria"/>
        </w:rPr>
        <w:t xml:space="preserve"> en 2025 (</w:t>
      </w:r>
      <w:r>
        <w:rPr>
          <w:rFonts w:ascii="Cambria" w:hAnsi="Cambria"/>
          <w:b/>
          <w:bCs/>
        </w:rPr>
        <w:t xml:space="preserve">-17,5%</w:t>
      </w:r>
      <w:r>
        <w:rPr>
          <w:rFonts w:ascii="Cambria" w:hAnsi="Cambria"/>
        </w:rPr>
        <w:t xml:space="preserve">), tras el </w:t>
      </w:r>
      <w:r>
        <w:rPr>
          <w:rFonts w:ascii="Cambria" w:hAnsi="Cambria"/>
          <w:b/>
          <w:bCs/>
        </w:rPr>
        <w:t xml:space="preserve">+58,1%</w:t>
      </w:r>
      <w:r>
        <w:rPr>
          <w:rFonts w:ascii="Cambria" w:hAnsi="Cambria"/>
        </w:rPr>
        <w:t xml:space="preserve"> de 2023, con importaciones de Costa Rica, Costa de Marfil, Colombia y Ecuador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Aguacate: exportaciones </w:t>
      </w:r>
      <w:r>
        <w:rPr>
          <w:rFonts w:ascii="Cambria" w:hAnsi="Cambria"/>
          <w:b/>
          <w:bCs/>
        </w:rPr>
        <w:t xml:space="preserve">483,5 M€</w:t>
      </w:r>
      <w:r>
        <w:rPr>
          <w:rFonts w:ascii="Cambria" w:hAnsi="Cambria"/>
        </w:rPr>
        <w:t xml:space="preserve"> (</w:t>
      </w:r>
      <w:r>
        <w:rPr>
          <w:rFonts w:ascii="Cambria" w:hAnsi="Cambria"/>
          <w:b/>
          <w:bCs/>
        </w:rPr>
        <w:t xml:space="preserve">+8,5%</w:t>
      </w:r>
      <w:r>
        <w:rPr>
          <w:rFonts w:ascii="Cambria" w:hAnsi="Cambria"/>
        </w:rPr>
        <w:t xml:space="preserve">), a Francia, Países Bajos, Alemania y Reino Unido, importaciones de Perú, Chile y Marruecos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Competidores: Israel en aguacate, y Costa Rica, Panamá, Colombia y Ecuador en plátano</w:t>
      </w:r>
    </w:p>
    <w:p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>
        <w:rPr>
          <w:rFonts w:ascii="Cambria" w:hAnsi="Cambria"/>
          <w:b/>
          <w:bCs/>
          <w:color w:val="auto"/>
          <w:sz w:val="28"/>
          <w:szCs w:val="28"/>
        </w:rPr>
        <w:t xml:space="preserve">3. FACTORES DE CALIDAD COMERCIAL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Calidad comercial</w:t>
      </w:r>
      <w:r>
        <w:rPr>
          <w:rFonts w:ascii="Cambria" w:hAnsi="Cambria"/>
        </w:rPr>
        <w:t xml:space="preserve">: valor añadido por selección, clasificación por categorías y calibres, verificación, acondicionamiento, envasado, almacenaje y transporte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Recogida en las </w:t>
      </w:r>
      <w:r>
        <w:rPr>
          <w:rFonts w:ascii="Cambria" w:hAnsi="Cambria"/>
          <w:b/>
          <w:bCs/>
        </w:rPr>
        <w:t xml:space="preserve">Normas de Comercialización</w:t>
      </w:r>
      <w:r>
        <w:rPr>
          <w:rFonts w:ascii="Cambria" w:hAnsi="Cambria"/>
        </w:rPr>
        <w:t xml:space="preserve"> de la UE, actualmente el </w:t>
      </w:r>
      <w:r>
        <w:rPr>
          <w:rFonts w:ascii="Cambria" w:hAnsi="Cambria"/>
          <w:b/>
          <w:bCs/>
        </w:rPr>
        <w:t xml:space="preserve">Reglamento Delegado (UE) 2023/2429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Requisitos mínimos generales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Intactos, sanos, limpios y prácticamente exentos de materias extrañas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Prácticamente exentos de plagas, sin daños en la pulpa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Exentos de humedad exterior anormal y de olores o sabores extraños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Capaces de soportar transporte y manipulación y llegar en condiciones satisfactorias al destino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Madurez comercial</w:t>
      </w:r>
      <w:r>
        <w:rPr>
          <w:rFonts w:ascii="Cambria" w:hAnsi="Cambria"/>
        </w:rPr>
        <w:t xml:space="preserve">: determinada por oferta y demanda, con impacto en el precio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Tipos de frutos según maduración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Climatéricos</w:t>
      </w:r>
      <w:r>
        <w:rPr>
          <w:rFonts w:ascii="Cambria" w:hAnsi="Cambria"/>
        </w:rPr>
        <w:t xml:space="preserve">: siguen madurando tras la recolección (frutos de hueso y pepita, salvo cereza, y la mayoría de tropicales)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No climatéricos</w:t>
      </w:r>
      <w:r>
        <w:rPr>
          <w:rFonts w:ascii="Cambria" w:hAnsi="Cambria"/>
        </w:rPr>
        <w:t xml:space="preserve">: la madurez comercial debe coincidir con la gustativa (cítricos, fresas, uvas, melón y piña)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Índices de maduración objetivos: firmeza (penetrómetro), color (cartas colorimétricas OCDE), sabor y azúcares/ácidos, almidón, grados Brix, índice E/A y contenido en aceite (aguacate)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Salud vegetal: ausencia de plagas (mosca de la fruta, polillas, piojo de San José) y enfermedades (mildiu, sarna, antracnosis, *Fusarium oxysporum*)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Salud humana: ausencia de materias activas prohibidas y respeto de los </w:t>
      </w:r>
      <w:r>
        <w:rPr>
          <w:rFonts w:ascii="Cambria" w:hAnsi="Cambria"/>
          <w:b/>
          <w:bCs/>
        </w:rPr>
        <w:t xml:space="preserve">límites máximos de residuos (LMR)</w:t>
      </w:r>
    </w:p>
    <w:p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>
        <w:rPr>
          <w:rFonts w:ascii="Cambria" w:hAnsi="Cambria"/>
          <w:b/>
          <w:bCs/>
          <w:color w:val="auto"/>
          <w:sz w:val="28"/>
          <w:szCs w:val="28"/>
        </w:rPr>
        <w:t xml:space="preserve">4. NORMATIVA APLICABLE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4.1. Política Agrícola Común (PAC)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Evolución desde 2003 hacia sostenibilidad, competitividad y simplificación administrativa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El </w:t>
      </w:r>
      <w:r>
        <w:rPr>
          <w:rFonts w:ascii="Cambria" w:hAnsi="Cambria"/>
          <w:b/>
          <w:bCs/>
        </w:rPr>
        <w:t xml:space="preserve">Reglamento (CE) 1234/2007</w:t>
      </w:r>
      <w:r>
        <w:rPr>
          <w:rFonts w:ascii="Cambria" w:hAnsi="Cambria"/>
        </w:rPr>
        <w:t xml:space="preserve"> fue sustituido por el </w:t>
      </w:r>
      <w:r>
        <w:rPr>
          <w:rFonts w:ascii="Cambria" w:hAnsi="Cambria"/>
          <w:b/>
          <w:bCs/>
        </w:rPr>
        <w:t xml:space="preserve">Reglamento (UE) 1308/2013</w:t>
      </w:r>
      <w:r>
        <w:rPr>
          <w:rFonts w:ascii="Cambria" w:hAnsi="Cambria"/>
        </w:rPr>
        <w:t xml:space="preserve">, que crea la </w:t>
      </w:r>
      <w:r>
        <w:rPr>
          <w:rFonts w:ascii="Cambria" w:hAnsi="Cambria"/>
          <w:b/>
          <w:bCs/>
        </w:rPr>
        <w:t xml:space="preserve">OCM Única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PAC 2023-2027 articulada en torno a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Reglamento (UE) 2021/2115</w:t>
      </w:r>
      <w:r>
        <w:rPr>
          <w:rFonts w:ascii="Cambria" w:hAnsi="Cambria"/>
        </w:rPr>
        <w:t xml:space="preserve">, planes estratégicos financiados por </w:t>
      </w:r>
      <w:r>
        <w:rPr>
          <w:rFonts w:ascii="Cambria" w:hAnsi="Cambria"/>
          <w:b/>
          <w:bCs/>
        </w:rPr>
        <w:t xml:space="preserve">FEAGA</w:t>
      </w:r>
      <w:r>
        <w:rPr>
          <w:rFonts w:ascii="Cambria" w:hAnsi="Cambria"/>
        </w:rPr>
        <w:t xml:space="preserve"> y </w:t>
      </w:r>
      <w:r>
        <w:rPr>
          <w:rFonts w:ascii="Cambria" w:hAnsi="Cambria"/>
          <w:b/>
          <w:bCs/>
        </w:rPr>
        <w:t xml:space="preserve">FEADER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Reglamento (UE) 2021/2116</w:t>
      </w:r>
      <w:r>
        <w:rPr>
          <w:rFonts w:ascii="Cambria" w:hAnsi="Cambria"/>
        </w:rPr>
        <w:t xml:space="preserve">, financiación, gestión y seguimiento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Reglamento (UE) 2021/2117</w:t>
      </w:r>
      <w:r>
        <w:rPr>
          <w:rFonts w:ascii="Cambria" w:hAnsi="Cambria"/>
        </w:rPr>
        <w:t xml:space="preserve">, modifica el </w:t>
      </w:r>
      <w:r>
        <w:rPr>
          <w:rFonts w:ascii="Cambria" w:hAnsi="Cambria"/>
          <w:b/>
          <w:bCs/>
        </w:rPr>
        <w:t xml:space="preserve">Reglamento (UE) 1308/2013</w:t>
      </w:r>
      <w:r>
        <w:rPr>
          <w:rFonts w:ascii="Cambria" w:hAnsi="Cambria"/>
        </w:rPr>
        <w:t xml:space="preserve"> y el </w:t>
      </w:r>
      <w:r>
        <w:rPr>
          <w:rFonts w:ascii="Cambria" w:hAnsi="Cambria"/>
          <w:b/>
          <w:bCs/>
        </w:rPr>
        <w:t xml:space="preserve">Reglamento (UE) 1151/2012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Prioridades: sostenibilidad medioambiental y climática, eco-regímenes y condicionalidad reforzada, relevo generacional, digitalización, fortalecimiento de organizaciones de productores y resiliencia ante crisis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Reglamento Ómnibus (UE) 2017/2393</w:t>
      </w:r>
      <w:r>
        <w:rPr>
          <w:rFonts w:ascii="Cambria" w:hAnsi="Cambria"/>
        </w:rPr>
        <w:t xml:space="preserve">: modificó los Reglamentos (UE) 1305/2013, 1306/2013, 1307/2013 y 1308/2013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Mayor flexibilidad en la definición de agricultor activo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Ayudas a jóvenes agricultores hasta el </w:t>
      </w:r>
      <w:r>
        <w:rPr>
          <w:rFonts w:ascii="Cambria" w:hAnsi="Cambria"/>
          <w:b/>
          <w:bCs/>
        </w:rPr>
        <w:t xml:space="preserve">50%</w:t>
      </w:r>
      <w:r>
        <w:rPr>
          <w:rFonts w:ascii="Cambria" w:hAnsi="Cambria"/>
        </w:rPr>
        <w:t xml:space="preserve"> del pago básico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Refuerzo de las organizaciones de productores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Flexibilización de pagos acoplados y mejora de la gestión de riesgos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Cambios en superficies de interés ecológico y en el coeficiente de admisibilidad de pastos mediterráneos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Medidas COVID-19: </w:t>
      </w:r>
      <w:r>
        <w:rPr>
          <w:rFonts w:ascii="Cambria" w:hAnsi="Cambria"/>
          <w:b/>
          <w:bCs/>
        </w:rPr>
        <w:t xml:space="preserve">Reglamentos (UE) 2020/592 y 2020/601</w:t>
      </w:r>
      <w:r>
        <w:rPr>
          <w:rFonts w:ascii="Cambria" w:hAnsi="Cambria"/>
        </w:rPr>
        <w:t xml:space="preserve">, flexibilización temporal en frutas y hortalizas, vino y aceite de oliva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4.2. Organización Común de Mercados (OCM)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Regulada por el </w:t>
      </w:r>
      <w:r>
        <w:rPr>
          <w:rFonts w:ascii="Cambria" w:hAnsi="Cambria"/>
          <w:b/>
          <w:bCs/>
        </w:rPr>
        <w:t xml:space="preserve">Reglamento (UE) 1308/2013</w:t>
      </w:r>
      <w:r>
        <w:rPr>
          <w:rFonts w:ascii="Cambria" w:hAnsi="Cambria"/>
        </w:rPr>
        <w:t xml:space="preserve">, modificado por el </w:t>
      </w:r>
      <w:r>
        <w:rPr>
          <w:rFonts w:ascii="Cambria" w:hAnsi="Cambria"/>
          <w:b/>
          <w:bCs/>
        </w:rPr>
        <w:t xml:space="preserve">Reglamento (UE) 2021/2117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Principios: unidad de mercado, solidaridad financiera y preferencia comunitaria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Objetivos: estabilizar mercados, garantizar nivel de vida equitativo, mejorar competitividad, garantizar abastecimiento y favorecer sostenibilidad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Establece: intervención pública, ayudas al almacenamiento privado, normas de comercialización, intercambios con terceros países, y organizaciones de productores e interprofesionales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Clasificación de productos mediante las Normas de Comercialización, con referencia en las normas </w:t>
      </w:r>
      <w:r>
        <w:rPr>
          <w:rFonts w:ascii="Cambria" w:hAnsi="Cambria"/>
          <w:b/>
          <w:bCs/>
        </w:rPr>
        <w:t xml:space="preserve">WP7 (CEPE/UN)</w:t>
      </w:r>
      <w:r>
        <w:rPr>
          <w:rFonts w:ascii="Cambria" w:hAnsi="Cambria"/>
        </w:rPr>
        <w:t xml:space="preserve">, recogidas en el </w:t>
      </w:r>
      <w:r>
        <w:rPr>
          <w:rFonts w:ascii="Cambria" w:hAnsi="Cambria"/>
          <w:b/>
          <w:bCs/>
        </w:rPr>
        <w:t xml:space="preserve">Reglamento Delegado (UE) 2023/2429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Esquema de las Normas-Cuadro del </w:t>
      </w:r>
      <w:r>
        <w:rPr>
          <w:rFonts w:ascii="Cambria" w:hAnsi="Cambria"/>
          <w:b/>
          <w:bCs/>
        </w:rPr>
        <w:t xml:space="preserve">Acuerdo de Ginebra (2015)</w:t>
      </w:r>
      <w:r>
        <w:rPr>
          <w:rFonts w:ascii="Cambria" w:hAnsi="Cambria"/>
        </w:rPr>
        <w:t xml:space="preserve">, que sustituyó al Protocolo de Ginebra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Definición, disposiciones de calidad, calibrado, tolerancias, presentación y marcado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Organizaciones Interprofesionales reconocidas conforme al </w:t>
      </w:r>
      <w:r>
        <w:rPr>
          <w:rFonts w:ascii="Cambria" w:hAnsi="Cambria"/>
          <w:b/>
          <w:bCs/>
        </w:rPr>
        <w:t xml:space="preserve">artículo 157</w:t>
      </w:r>
      <w:r>
        <w:rPr>
          <w:rFonts w:ascii="Cambria" w:hAnsi="Cambria"/>
        </w:rPr>
        <w:t xml:space="preserve"> del </w:t>
      </w:r>
      <w:r>
        <w:rPr>
          <w:rFonts w:ascii="Cambria" w:hAnsi="Cambria"/>
          <w:b/>
          <w:bCs/>
        </w:rPr>
        <w:t xml:space="preserve">Reglamento (UE) 1308/2013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Ejemplos: </w:t>
      </w:r>
      <w:r>
        <w:rPr>
          <w:rFonts w:ascii="Cambria" w:hAnsi="Cambria"/>
          <w:b/>
          <w:bCs/>
        </w:rPr>
        <w:t xml:space="preserve">FRESHUELVA</w:t>
      </w:r>
      <w:r>
        <w:rPr>
          <w:rFonts w:ascii="Cambria" w:hAnsi="Cambria"/>
        </w:rPr>
        <w:t xml:space="preserve">, </w:t>
      </w:r>
      <w:r>
        <w:rPr>
          <w:rFonts w:ascii="Cambria" w:hAnsi="Cambria"/>
          <w:b/>
          <w:bCs/>
        </w:rPr>
        <w:t xml:space="preserve">FEPEX</w:t>
      </w:r>
      <w:r>
        <w:rPr>
          <w:rFonts w:ascii="Cambria" w:hAnsi="Cambria"/>
        </w:rPr>
        <w:t xml:space="preserve">, </w:t>
      </w:r>
      <w:r>
        <w:rPr>
          <w:rFonts w:ascii="Cambria" w:hAnsi="Cambria"/>
          <w:b/>
          <w:bCs/>
        </w:rPr>
        <w:t xml:space="preserve">HORTESPAÑA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Régimen de intervención gestionado por </w:t>
      </w:r>
      <w:r>
        <w:rPr>
          <w:rFonts w:ascii="Cambria" w:hAnsi="Cambria"/>
          <w:b/>
          <w:bCs/>
        </w:rPr>
        <w:t xml:space="preserve">FEGA</w:t>
      </w:r>
      <w:r>
        <w:rPr>
          <w:rFonts w:ascii="Cambria" w:hAnsi="Cambria"/>
        </w:rPr>
        <w:t xml:space="preserve"> y, en Europa, </w:t>
      </w:r>
      <w:r>
        <w:rPr>
          <w:rFonts w:ascii="Cambria" w:hAnsi="Cambria"/>
          <w:b/>
          <w:bCs/>
        </w:rPr>
        <w:t xml:space="preserve">FEAGA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Sustitución del Pago Único por el </w:t>
      </w:r>
      <w:r>
        <w:rPr>
          <w:rFonts w:ascii="Cambria" w:hAnsi="Cambria"/>
          <w:b/>
          <w:bCs/>
        </w:rPr>
        <w:t xml:space="preserve">Pago Básico a la Sostenibilidad (BISS)</w:t>
      </w:r>
      <w:r>
        <w:rPr>
          <w:rFonts w:ascii="Cambria" w:hAnsi="Cambria"/>
        </w:rPr>
        <w:t xml:space="preserve">, con eco-regímenes y </w:t>
      </w:r>
      <w:r>
        <w:rPr>
          <w:rFonts w:ascii="Cambria" w:hAnsi="Cambria"/>
          <w:b/>
          <w:bCs/>
        </w:rPr>
        <w:t xml:space="preserve">Buenas Condiciones Agrarias y Medioambientales (BCAM)</w:t>
      </w:r>
      <w:r>
        <w:rPr>
          <w:rFonts w:ascii="Cambria" w:hAnsi="Cambria"/>
        </w:rPr>
        <w:t xml:space="preserve">, integrando el antiguo Greening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Medidas de intercambio con terceros países: aranceles, contingentes, salvaguardias y certificados de importación/exportación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4.3. Normativa voluntaria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Normas </w:t>
      </w:r>
      <w:r>
        <w:rPr>
          <w:rFonts w:ascii="Cambria" w:hAnsi="Cambria"/>
          <w:b/>
          <w:bCs/>
        </w:rPr>
        <w:t xml:space="preserve">CEPE/UN</w:t>
      </w:r>
      <w:r>
        <w:rPr>
          <w:rFonts w:ascii="Cambria" w:hAnsi="Cambria"/>
        </w:rPr>
        <w:t xml:space="preserve">, elaboradas por el grupo </w:t>
      </w:r>
      <w:r>
        <w:rPr>
          <w:rFonts w:ascii="Cambria" w:hAnsi="Cambria"/>
          <w:b/>
          <w:bCs/>
        </w:rPr>
        <w:t xml:space="preserve">WP7</w:t>
      </w:r>
      <w:r>
        <w:rPr>
          <w:rFonts w:ascii="Cambria" w:hAnsi="Cambria"/>
        </w:rPr>
        <w:t xml:space="preserve"> de la Comisión Económica de Naciones Unidas para Europa, con 4 secciones especializadas, una para frutas y hortalizas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Trabajan sobre desperdicio alimenticio y trazabilidad, en línea con los </w:t>
      </w:r>
      <w:r>
        <w:rPr>
          <w:rFonts w:ascii="Cambria" w:hAnsi="Cambria"/>
          <w:b/>
          <w:bCs/>
        </w:rPr>
        <w:t xml:space="preserve">17 Objetivos de Desarrollo Sostenible</w:t>
      </w:r>
      <w:r>
        <w:rPr>
          <w:rFonts w:ascii="Cambria" w:hAnsi="Cambria"/>
        </w:rPr>
        <w:t xml:space="preserve"> de la ONU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Desarrollan folletos interpretativos (piñas, caquis)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Folletos interpretativos de la </w:t>
      </w:r>
      <w:r>
        <w:rPr>
          <w:rFonts w:ascii="Cambria" w:hAnsi="Cambria"/>
          <w:b/>
          <w:bCs/>
        </w:rPr>
        <w:t xml:space="preserve">OCDE</w:t>
      </w:r>
      <w:r>
        <w:rPr>
          <w:rFonts w:ascii="Cambria" w:hAnsi="Cambria"/>
        </w:rPr>
        <w:t xml:space="preserve">: texto oficial CEPE/UN, textos interpretativos, ilustraciones y cartas colorimétricas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Normas </w:t>
      </w:r>
      <w:r>
        <w:rPr>
          <w:rFonts w:ascii="Cambria" w:hAnsi="Cambria"/>
          <w:b/>
          <w:bCs/>
        </w:rPr>
        <w:t xml:space="preserve">CODEX</w:t>
      </w:r>
      <w:r>
        <w:rPr>
          <w:rFonts w:ascii="Cambria" w:hAnsi="Cambria"/>
        </w:rPr>
        <w:t xml:space="preserve">: consultadas con CEPE/UN para evitar obstáculos técnicos al comercio (OTC), voluntarias, protegen la salud del consumidor y el comercio justo (berenjena, ajo, kiwi, manzana, mango)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Producción Controlada</w:t>
      </w:r>
      <w:r>
        <w:rPr>
          <w:rFonts w:ascii="Cambria" w:hAnsi="Cambria"/>
        </w:rPr>
        <w:t xml:space="preserve">: desarrollada por </w:t>
      </w:r>
      <w:r>
        <w:rPr>
          <w:rFonts w:ascii="Cambria" w:hAnsi="Cambria"/>
          <w:b/>
          <w:bCs/>
        </w:rPr>
        <w:t xml:space="preserve">AENOR</w:t>
      </w:r>
      <w:r>
        <w:rPr>
          <w:rFonts w:ascii="Cambria" w:hAnsi="Cambria"/>
        </w:rPr>
        <w:t xml:space="preserve"> mediante normas </w:t>
      </w:r>
      <w:r>
        <w:rPr>
          <w:rFonts w:ascii="Cambria" w:hAnsi="Cambria"/>
          <w:b/>
          <w:bCs/>
        </w:rPr>
        <w:t xml:space="preserve">UNE</w:t>
      </w:r>
      <w:r>
        <w:rPr>
          <w:rFonts w:ascii="Cambria" w:hAnsi="Cambria"/>
        </w:rPr>
        <w:t xml:space="preserve"> (Comité </w:t>
      </w:r>
      <w:r>
        <w:rPr>
          <w:rFonts w:ascii="Cambria" w:hAnsi="Cambria"/>
          <w:b/>
          <w:bCs/>
        </w:rPr>
        <w:t xml:space="preserve">AEN/CTN 155</w:t>
      </w:r>
      <w:r>
        <w:rPr>
          <w:rFonts w:ascii="Cambria" w:hAnsi="Cambria"/>
        </w:rPr>
        <w:t xml:space="preserve">)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Producción Ecológica</w:t>
      </w:r>
      <w:r>
        <w:rPr>
          <w:rFonts w:ascii="Cambria" w:hAnsi="Cambria"/>
        </w:rPr>
        <w:t xml:space="preserve">: regulada por el </w:t>
      </w:r>
      <w:r>
        <w:rPr>
          <w:rFonts w:ascii="Cambria" w:hAnsi="Cambria"/>
          <w:b/>
          <w:bCs/>
        </w:rPr>
        <w:t xml:space="preserve">Reglamento (UE) 2018/848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Desde 2023, terceros países deben cumplir los estándares comunitarios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Modificaciones por el </w:t>
      </w:r>
      <w:r>
        <w:rPr>
          <w:rFonts w:ascii="Cambria" w:hAnsi="Cambria"/>
          <w:b/>
          <w:bCs/>
        </w:rPr>
        <w:t xml:space="preserve">Reglamento de Ejecución (UE) 2016/1842</w:t>
      </w:r>
      <w:r>
        <w:rPr>
          <w:rFonts w:ascii="Cambria" w:hAnsi="Cambria"/>
        </w:rPr>
        <w:t xml:space="preserve"> (certificado electrónico y controles del SOIVRE)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El </w:t>
      </w:r>
      <w:r>
        <w:rPr>
          <w:rFonts w:ascii="Cambria" w:hAnsi="Cambria"/>
          <w:b/>
          <w:bCs/>
        </w:rPr>
        <w:t xml:space="preserve">SOIVRE</w:t>
      </w:r>
      <w:r>
        <w:rPr>
          <w:rFonts w:ascii="Cambria" w:hAnsi="Cambria"/>
        </w:rPr>
        <w:t xml:space="preserve">, según la </w:t>
      </w:r>
      <w:r>
        <w:rPr>
          <w:rFonts w:ascii="Cambria" w:hAnsi="Cambria"/>
          <w:b/>
          <w:bCs/>
        </w:rPr>
        <w:t xml:space="preserve">Orden ECC/1936/2014</w:t>
      </w:r>
      <w:r>
        <w:rPr>
          <w:rFonts w:ascii="Cambria" w:hAnsi="Cambria"/>
        </w:rPr>
        <w:t xml:space="preserve">, controla la importación de productos agrarios vivos o no transformados, productos transformados, piensos, materiales de reproducción vegetativa y semillas, y levaduras para consumo humano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Producción Integrada</w:t>
      </w:r>
      <w:r>
        <w:rPr>
          <w:rFonts w:ascii="Cambria" w:hAnsi="Cambria"/>
        </w:rPr>
        <w:t xml:space="preserve">: regulada por el </w:t>
      </w:r>
      <w:r>
        <w:rPr>
          <w:rFonts w:ascii="Cambria" w:hAnsi="Cambria"/>
          <w:b/>
          <w:bCs/>
        </w:rPr>
        <w:t xml:space="preserve">Real Decreto 1201/2002</w:t>
      </w:r>
      <w:r>
        <w:rPr>
          <w:rFonts w:ascii="Cambria" w:hAnsi="Cambria"/>
        </w:rPr>
        <w:t xml:space="preserve">, desarrollada por las CCAA, con logotipo identificativo según la </w:t>
      </w:r>
      <w:r>
        <w:rPr>
          <w:rFonts w:ascii="Cambria" w:hAnsi="Cambria"/>
          <w:b/>
          <w:bCs/>
        </w:rPr>
        <w:t xml:space="preserve">Orden APA/1/2004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DOP, IGP y ETG</w:t>
      </w:r>
      <w:r>
        <w:rPr>
          <w:rFonts w:ascii="Cambria" w:hAnsi="Cambria"/>
        </w:rPr>
        <w:t xml:space="preserve">: reguladas por el </w:t>
      </w:r>
      <w:r>
        <w:rPr>
          <w:rFonts w:ascii="Cambria" w:hAnsi="Cambria"/>
          <w:b/>
          <w:bCs/>
        </w:rPr>
        <w:t xml:space="preserve">Reglamento (UE) 2024/1143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La </w:t>
      </w:r>
      <w:r>
        <w:rPr>
          <w:rFonts w:ascii="Cambria" w:hAnsi="Cambria"/>
          <w:b/>
          <w:bCs/>
        </w:rPr>
        <w:t xml:space="preserve">Ley 6/2015</w:t>
      </w:r>
      <w:r>
        <w:rPr>
          <w:rFonts w:ascii="Cambria" w:hAnsi="Cambria"/>
        </w:rPr>
        <w:t xml:space="preserve"> de denominaciones de origen supraautonómicas atribuye a la </w:t>
      </w:r>
      <w:r>
        <w:rPr>
          <w:rFonts w:ascii="Cambria" w:hAnsi="Cambria"/>
          <w:b/>
          <w:bCs/>
        </w:rPr>
        <w:t xml:space="preserve">AICA</w:t>
      </w:r>
      <w:r>
        <w:rPr>
          <w:rFonts w:ascii="Cambria" w:hAnsi="Cambria"/>
        </w:rPr>
        <w:t xml:space="preserve"> el control de comercialización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Ejemplos: DOP Melocotón de Calanda, Cereza del Valle del Jerte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Protocolos privados de buenas prácticas: Tesco Nurture, Carrefour Quality Lines, </w:t>
      </w:r>
      <w:r>
        <w:rPr>
          <w:rFonts w:ascii="Cambria" w:hAnsi="Cambria"/>
          <w:b/>
          <w:bCs/>
        </w:rPr>
        <w:t xml:space="preserve">GLOBALG.A.P.</w:t>
      </w:r>
      <w:r>
        <w:rPr>
          <w:rFonts w:ascii="Cambria" w:hAnsi="Cambria"/>
        </w:rPr>
        <w:t xml:space="preserve"> y el estándar australiano </w:t>
      </w:r>
      <w:r>
        <w:rPr>
          <w:rFonts w:ascii="Cambria" w:hAnsi="Cambria"/>
          <w:b/>
          <w:bCs/>
        </w:rPr>
        <w:t xml:space="preserve">SQF</w:t>
      </w:r>
      <w:r>
        <w:rPr>
          <w:rFonts w:ascii="Cambria" w:hAnsi="Cambria"/>
        </w:rPr>
        <w:t xml:space="preserve"> (9ª edición)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4.4. Normativa general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Real Decreto 175/2004</w:t>
      </w:r>
      <w:r>
        <w:rPr>
          <w:rFonts w:ascii="Cambria" w:hAnsi="Cambria"/>
        </w:rPr>
        <w:t xml:space="preserve">: designa a la Secretaría de Estado de Comercio (MINCOTUR) como autoridad de control de las normas de comercialización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Reglamento (CE) 396/2005</w:t>
      </w:r>
      <w:r>
        <w:rPr>
          <w:rFonts w:ascii="Cambria" w:hAnsi="Cambria"/>
        </w:rPr>
        <w:t xml:space="preserve">: límites máximos de residuos de plaguicidas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Reglamento (UE) 2023/915</w:t>
      </w:r>
      <w:r>
        <w:rPr>
          <w:rFonts w:ascii="Cambria" w:hAnsi="Cambria"/>
        </w:rPr>
        <w:t xml:space="preserve">: límites máximos de contaminantes en alimentos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Reglamento (UE) 1169/2011</w:t>
      </w:r>
      <w:r>
        <w:rPr>
          <w:rFonts w:ascii="Cambria" w:hAnsi="Cambria"/>
        </w:rPr>
        <w:t xml:space="preserve">: información al consumidor y etiquetado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Real Decreto 1055/2022</w:t>
      </w:r>
      <w:r>
        <w:rPr>
          <w:rFonts w:ascii="Cambria" w:hAnsi="Cambria"/>
        </w:rPr>
        <w:t xml:space="preserve">: envases y residuos de envases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Paquete de higiene: </w:t>
      </w:r>
      <w:r>
        <w:rPr>
          <w:rFonts w:ascii="Cambria" w:hAnsi="Cambria"/>
          <w:b/>
          <w:bCs/>
        </w:rPr>
        <w:t xml:space="preserve">Reglamentos (CE) 852 y 853/2004</w:t>
      </w:r>
      <w:r>
        <w:rPr>
          <w:rFonts w:ascii="Cambria" w:hAnsi="Cambria"/>
        </w:rPr>
        <w:t xml:space="preserve"> y </w:t>
      </w:r>
      <w:r>
        <w:rPr>
          <w:rFonts w:ascii="Cambria" w:hAnsi="Cambria"/>
          <w:b/>
          <w:bCs/>
        </w:rPr>
        <w:t xml:space="preserve">Reglamento (UE) 2017/625</w:t>
      </w:r>
      <w:r>
        <w:rPr>
          <w:rFonts w:ascii="Cambria" w:hAnsi="Cambria"/>
        </w:rPr>
        <w:t xml:space="preserve"> sobre controles oficiales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Ley 28/2015</w:t>
      </w:r>
      <w:r>
        <w:rPr>
          <w:rFonts w:ascii="Cambria" w:hAnsi="Cambria"/>
        </w:rPr>
        <w:t xml:space="preserve">: defensa de la calidad alimentaria, con régimen sancionador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Ley 1/2025</w:t>
      </w:r>
      <w:r>
        <w:rPr>
          <w:rFonts w:ascii="Cambria" w:hAnsi="Cambria"/>
        </w:rPr>
        <w:t xml:space="preserve">: prevención de pérdidas y desperdicio alimentario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Orden PRE/3026/2003</w:t>
      </w:r>
      <w:r>
        <w:rPr>
          <w:rFonts w:ascii="Cambria" w:hAnsi="Cambria"/>
        </w:rPr>
        <w:t xml:space="preserve">, modificada por las </w:t>
      </w:r>
      <w:r>
        <w:rPr>
          <w:rFonts w:ascii="Cambria" w:hAnsi="Cambria"/>
          <w:b/>
          <w:bCs/>
        </w:rPr>
        <w:t xml:space="preserve">Órdenes ECC/2257/2013</w:t>
      </w:r>
      <w:r>
        <w:rPr>
          <w:rFonts w:ascii="Cambria" w:hAnsi="Cambria"/>
        </w:rPr>
        <w:t xml:space="preserve"> y </w:t>
      </w:r>
      <w:r>
        <w:rPr>
          <w:rFonts w:ascii="Cambria" w:hAnsi="Cambria"/>
          <w:b/>
          <w:bCs/>
        </w:rPr>
        <w:t xml:space="preserve">ECC/2566/2015</w:t>
      </w:r>
      <w:r>
        <w:rPr>
          <w:rFonts w:ascii="Cambria" w:hAnsi="Cambria"/>
        </w:rPr>
        <w:t xml:space="preserve">: inspección del control de calidad comercial en comercio exterior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El </w:t>
      </w:r>
      <w:r>
        <w:rPr>
          <w:rFonts w:ascii="Cambria" w:hAnsi="Cambria"/>
          <w:b/>
          <w:bCs/>
        </w:rPr>
        <w:t xml:space="preserve">SOIVRE</w:t>
      </w:r>
      <w:r>
        <w:rPr>
          <w:rFonts w:ascii="Cambria" w:hAnsi="Cambria"/>
        </w:rPr>
        <w:t xml:space="preserve"> controla la importación de plátanos, aguacates o manzanas, y la exportación de piñas y aguacates, entre otros</w:t>
      </w:r>
    </w:p>
    <w:p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>
        <w:rPr>
          <w:rFonts w:ascii="Cambria" w:hAnsi="Cambria"/>
          <w:b/>
          <w:bCs/>
          <w:color w:val="auto"/>
          <w:sz w:val="28"/>
          <w:szCs w:val="28"/>
        </w:rPr>
        <w:t xml:space="preserve">5. CONCLUSIÓN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Sector estratégico del agroalimentario español, con una de las principales partidas superavitarias de la balanza comercial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España entre los principales exportadores de la UE, apoyada en la especialización productiva y la orientación exterior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Riesgo de mayor competencia por la entrada en vigor del </w:t>
      </w:r>
      <w:r>
        <w:rPr>
          <w:rFonts w:ascii="Cambria" w:hAnsi="Cambria"/>
          <w:b/>
          <w:bCs/>
        </w:rPr>
        <w:t xml:space="preserve">Acuerdo de Asociación UE-Mercosur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Liberalización progresiva del comercio con Argentina, Brasil, Uruguay y Paraguay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Balanza comercial bilateral española deficitaria con estos países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Brasil como competidor en cítricos, melones y mangos, con calendarios que pueden solaparse con Almería y Murcia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Argentina relevante en limones y frutas de pepita (peras y manzanas)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Necesidad de estrategias de diferenciación, calidad y sostenibilidad, y de exigir a la UE condiciones sanitarias, fitosanitarias, medioambientales y laborales equivalentes para los terceros países</w:t>
      </w:r>
    </w:p>
    <w:sectPr w:rsidR="00A65383" w:rsidRPr="007114D7">
      <w:footerReference w:type="default" r:id="rId900"/>
      <w:headerReference w:type="default" r:id="rId7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43E737" w14:textId="77777777" w:rsidR="00F85B76" w:rsidRDefault="00F85B76" w:rsidP="00F85B76">
      <w:pPr>
        <w:spacing w:after="0" w:line="240" w:lineRule="auto"/>
      </w:pPr>
      <w:r>
        <w:separator/>
      </w:r>
    </w:p>
  </w:endnote>
  <w:endnote w:type="continuationSeparator" w:id="0">
    <w:p w14:paraId="147C91B0" w14:textId="77777777" w:rsidR="00F85B76" w:rsidRDefault="00F85B76" w:rsidP="00F85B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</w:fonts>
</file>

<file path=word/footer1.xml><?xml version="1.0" encoding="utf-8"?>
<w:ftr xmlns:w="http://schemas.openxmlformats.org/wordprocessingml/2006/main">
  <w:p>
    <w:pPr>
      <w:pStyle w:val="Piedepgina"/>
      <w:jc w:val="center"/>
      <w:rPr>
        <w:rFonts w:ascii="Palatino Linotype" w:eastAsia="Palatino Linotype" w:hAnsi="Palatino Linotype" w:cs="Palatino Linotype"/>
        <w:b/>
        <w:bCs/>
        <w:color w:val="000000"/>
        <w:sz w:val="24"/>
        <w:szCs w:val="24"/>
      </w:rPr>
    </w:pPr>
    <w:r>
      <w:rPr>
        <w:rFonts w:ascii="Palatino Linotype" w:eastAsia="Palatino Linotype" w:hAnsi="Palatino Linotype" w:cs="Palatino Linotype"/>
        <w:b/>
        <w:bCs/>
        <w:color w:val="000000"/>
        <w:sz w:val="24"/>
        <w:szCs w:val="24"/>
      </w:rPr>
      <w:t>SERGIO ARGUDO SANTIAGO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8BA500" w14:textId="77777777" w:rsidR="00F85B76" w:rsidRDefault="00F85B76" w:rsidP="00F85B76">
      <w:pPr>
        <w:spacing w:after="0" w:line="240" w:lineRule="auto"/>
      </w:pPr>
      <w:r>
        <w:separator/>
      </w:r>
    </w:p>
  </w:footnote>
  <w:footnote w:type="continuationSeparator" w:id="0">
    <w:p w14:paraId="5EBB74E5" w14:textId="77777777" w:rsidR="00F85B76" w:rsidRDefault="00F85B76" w:rsidP="00F85B7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>
    <w:pPr>
      <w:pStyle w:val="Encabezado"/>
      <w:jc w:val="both"/>
      <w:rPr>
        <w:rFonts w:ascii="Palatino Linotype" w:hAnsi="Palatino Linotype"/>
        <w:i/>
        <w:iCs/>
      </w:rPr>
    </w:pPr>
    <w:r>
      <w:rPr>
        <w:rFonts w:ascii="Palatino Linotype" w:hAnsi="Palatino Linotype"/>
        <w:i/>
        <w:iCs/>
      </w:rPr>
      <w:t xml:space="preserve">TEMA 1 – Sector de frutos frescos, excepto cítricos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C82A5E"/>
    <w:multiLevelType w:val="multilevel"/>
    <w:tmpl w:val="17686D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6BA086D"/>
    <w:multiLevelType w:val="multilevel"/>
    <w:tmpl w:val="C63689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A764527"/>
    <w:multiLevelType w:val="multilevel"/>
    <w:tmpl w:val="4484D9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9B9671D"/>
    <w:multiLevelType w:val="multilevel"/>
    <w:tmpl w:val="FF7AB4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D145E70"/>
    <w:multiLevelType w:val="multilevel"/>
    <w:tmpl w:val="4CF847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8082AA3"/>
    <w:multiLevelType w:val="multilevel"/>
    <w:tmpl w:val="E6004A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FE72879"/>
    <w:multiLevelType w:val="multilevel"/>
    <w:tmpl w:val="C3DA2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09A5A7F"/>
    <w:multiLevelType w:val="multilevel"/>
    <w:tmpl w:val="EE3633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6890683"/>
    <w:multiLevelType w:val="multilevel"/>
    <w:tmpl w:val="F0EAD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33F2D55"/>
    <w:multiLevelType w:val="multilevel"/>
    <w:tmpl w:val="BCE41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AAC63FF"/>
    <w:multiLevelType w:val="multilevel"/>
    <w:tmpl w:val="10A62D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C9A721B"/>
    <w:multiLevelType w:val="multilevel"/>
    <w:tmpl w:val="9654A2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7E9D13DD"/>
    <w:multiLevelType w:val="multilevel"/>
    <w:tmpl w:val="88A6E9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62984031">
    <w:abstractNumId w:val="7"/>
  </w:num>
  <w:num w:numId="2" w16cid:durableId="936329550">
    <w:abstractNumId w:val="4"/>
  </w:num>
  <w:num w:numId="3" w16cid:durableId="11223434">
    <w:abstractNumId w:val="0"/>
  </w:num>
  <w:num w:numId="4" w16cid:durableId="1698307743">
    <w:abstractNumId w:val="12"/>
  </w:num>
  <w:num w:numId="5" w16cid:durableId="1213886216">
    <w:abstractNumId w:val="11"/>
  </w:num>
  <w:num w:numId="6" w16cid:durableId="1037045334">
    <w:abstractNumId w:val="6"/>
  </w:num>
  <w:num w:numId="7" w16cid:durableId="638070075">
    <w:abstractNumId w:val="3"/>
  </w:num>
  <w:num w:numId="8" w16cid:durableId="616715768">
    <w:abstractNumId w:val="10"/>
  </w:num>
  <w:num w:numId="9" w16cid:durableId="1616985504">
    <w:abstractNumId w:val="9"/>
  </w:num>
  <w:num w:numId="10" w16cid:durableId="1055738181">
    <w:abstractNumId w:val="8"/>
  </w:num>
  <w:num w:numId="11" w16cid:durableId="928273277">
    <w:abstractNumId w:val="1"/>
  </w:num>
  <w:num w:numId="12" w16cid:durableId="919099836">
    <w:abstractNumId w:val="2"/>
  </w:num>
  <w:num w:numId="13" w16cid:durableId="52247863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5B76"/>
    <w:rsid w:val="00457D88"/>
    <w:rsid w:val="005803BC"/>
    <w:rsid w:val="00600D28"/>
    <w:rsid w:val="00656837"/>
    <w:rsid w:val="006A0D39"/>
    <w:rsid w:val="007114D7"/>
    <w:rsid w:val="00975640"/>
    <w:rsid w:val="00A65383"/>
    <w:rsid w:val="00A8675C"/>
    <w:rsid w:val="00BB1DEC"/>
    <w:rsid w:val="00C12CFD"/>
    <w:rsid w:val="00D45530"/>
    <w:rsid w:val="00E15422"/>
    <w:rsid w:val="00E7657A"/>
    <w:rsid w:val="00EE6C5F"/>
    <w:rsid w:val="00F85B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6DAF6C1"/>
  <w15:chartTrackingRefBased/>
  <w15:docId w15:val="{B64D109C-3694-4C93-A841-AE8DEB4F80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F85B7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85B7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F85B7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85B7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85B7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85B7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85B7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85B7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85B7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A8675C"/>
    <w:pPr>
      <w:ind w:left="720"/>
      <w:contextualSpacing/>
    </w:pPr>
  </w:style>
  <w:style w:type="character" w:customStyle="1" w:styleId="Ttulo1Car">
    <w:name w:val="Título 1 Car"/>
    <w:basedOn w:val="Fuentedeprrafopredeter"/>
    <w:link w:val="Ttulo1"/>
    <w:uiPriority w:val="9"/>
    <w:rsid w:val="00F85B7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F85B7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F85B7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85B7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85B76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85B76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85B76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85B76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85B7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F85B7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F85B7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F85B7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F85B7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F85B7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F85B76"/>
    <w:rPr>
      <w:i/>
      <w:iCs/>
      <w:color w:val="404040" w:themeColor="text1" w:themeTint="BF"/>
    </w:rPr>
  </w:style>
  <w:style w:type="character" w:styleId="nfasisintenso">
    <w:name w:val="Intense Emphasis"/>
    <w:basedOn w:val="Fuentedeprrafopredeter"/>
    <w:uiPriority w:val="21"/>
    <w:qFormat/>
    <w:rsid w:val="00F85B76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85B7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85B76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F85B76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F85B7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F85B76"/>
  </w:style>
  <w:style w:type="paragraph" w:styleId="Piedepgina">
    <w:name w:val="footer"/>
    <w:basedOn w:val="Normal"/>
    <w:link w:val="PiedepginaCar"/>
    <w:uiPriority w:val="99"/>
    <w:unhideWhenUsed/>
    <w:rsid w:val="00F85B7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F85B7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Relationship Id="rId90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6</Pages>
  <Words>1112</Words>
  <Characters>6119</Characters>
  <Application>Microsoft Office Word</Application>
  <DocSecurity>0</DocSecurity>
  <Lines>50</Lines>
  <Paragraphs>14</Paragraphs>
  <ScaleCrop>false</ScaleCrop>
  <Company/>
  <LinksUpToDate>false</LinksUpToDate>
  <CharactersWithSpaces>7217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Argudo Santiago, Sergio</dc:creator>
  <cp:keywords/>
  <dc:description/>
  <cp:lastModifiedBy>Argudo Santiago, Sergio</cp:lastModifiedBy>
  <cp:revision>9</cp:revision>
  <dcterms:created xsi:type="dcterms:W3CDTF">2025-11-21T17:54:00Z</dcterms:created>
  <dcterms:modified xsi:type="dcterms:W3CDTF">2026-01-14T14:24:00Z</dcterms:modified>
</cp:coreProperties>
</file>