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1. INTRODUCCIÓN</w:t>
      </w:r>
    </w:p>
    <w:p>
      <w:pPr>
        <w:jc w:val="both"/>
        <w:rPr>
          <w:rFonts w:ascii="Cambria" w:hAnsi="Cambria"/>
        </w:rPr>
      </w:pPr>
      <w:r>
        <w:rPr>
          <w:rFonts w:ascii="Cambria" w:hAnsi="Cambria"/>
        </w:rPr>
        <w:t xml:space="preserve">El sector de conservas y semiconservas vegetales engloba alimentos perecederos sometidos a métodos de conservación para su consumo posterior, constituyendo uno de los más relevantes a nivel mundial.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Plan de Internacionalización del Sector Agroalimentario</w:t>
      </w:r>
      <w:r>
        <w:rPr>
          <w:rFonts w:ascii="Cambria" w:hAnsi="Cambria"/>
        </w:rPr>
        <w:t xml:space="preserve">, a través del </w:t>
      </w:r>
      <w:r>
        <w:rPr>
          <w:rFonts w:ascii="Cambria" w:hAnsi="Cambria"/>
          <w:b/>
          <w:bCs/>
        </w:rPr>
        <w:t xml:space="preserve">GTISA</w:t>
      </w:r>
      <w:r>
        <w:rPr>
          <w:rFonts w:ascii="Cambria" w:hAnsi="Cambria"/>
        </w:rPr>
        <w:t xml:space="preserve"> (presidido por la Secretaría General de Agricultura y Alimentación del </w:t>
      </w:r>
      <w:r>
        <w:rPr>
          <w:rFonts w:ascii="Cambria" w:hAnsi="Cambria"/>
          <w:b/>
          <w:bCs/>
        </w:rPr>
        <w:t xml:space="preserve">MAPA</w:t>
      </w:r>
      <w:r>
        <w:rPr>
          <w:rFonts w:ascii="Cambria" w:hAnsi="Cambria"/>
        </w:rPr>
        <w:t xml:space="preserve">), cuenta con 7 Grupos de Trabajo, uno dedicado a Frutas y Hortalizas, con objetivos como: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Eliminación de barreras comerciales y apertura de nuevos mercados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Coordinación institucional y mejora de la información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Aumento de la dimensión empresarial y promoción de productos españoles</w:t>
      </w:r>
    </w:p>
    <w:p>
      <w:pPr>
        <w:jc w:val="both"/>
        <w:rPr>
          <w:rFonts w:ascii="Cambria" w:hAnsi="Cambria"/>
        </w:rPr>
      </w:pPr>
      <w:r>
        <w:rPr>
          <w:rFonts w:ascii="Cambria" w:hAnsi="Cambria"/>
        </w:rPr>
        <w:t xml:space="preserve">El tema aborda la designación de productos, los factores de calidad comercial, la normativa aplicable y el análisis sectorial.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2. DESCRIPCIÓN Y DESIGNACIÓN DE LOS PRINCIPALES PRODUCTOS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2.1. Conservas y semiconservas de vegetales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Clasificación en </w:t>
      </w:r>
      <w:r>
        <w:rPr>
          <w:rFonts w:ascii="Cambria" w:hAnsi="Cambria"/>
          <w:b/>
          <w:bCs/>
        </w:rPr>
        <w:t xml:space="preserve">GAMAS</w:t>
      </w:r>
      <w:r>
        <w:rPr>
          <w:rFonts w:ascii="Cambria" w:hAnsi="Cambria"/>
        </w:rPr>
        <w:t xml:space="preserve">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Gama I</w:t>
      </w:r>
      <w:r>
        <w:rPr>
          <w:rFonts w:ascii="Cambria" w:hAnsi="Cambria"/>
        </w:rPr>
        <w:t xml:space="preserve">: vegetales frescos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Gama II</w:t>
      </w:r>
      <w:r>
        <w:rPr>
          <w:rFonts w:ascii="Cambria" w:hAnsi="Cambria"/>
        </w:rPr>
        <w:t xml:space="preserve">: semiconservas y conservas de larga duración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Gama III</w:t>
      </w:r>
      <w:r>
        <w:rPr>
          <w:rFonts w:ascii="Cambria" w:hAnsi="Cambria"/>
        </w:rPr>
        <w:t xml:space="preserve">: productos congelados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Gama IV</w:t>
      </w:r>
      <w:r>
        <w:rPr>
          <w:rFonts w:ascii="Cambria" w:hAnsi="Cambria"/>
        </w:rPr>
        <w:t xml:space="preserve">: mínimamente procesados, envasados, listos para consumo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Gama V</w:t>
      </w:r>
      <w:r>
        <w:rPr>
          <w:rFonts w:ascii="Cambria" w:hAnsi="Cambria"/>
        </w:rPr>
        <w:t xml:space="preserve">: precocinados y envasados, alta calidad y corta duración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Real Decreto 2420/1978</w:t>
      </w:r>
      <w:r>
        <w:rPr>
          <w:rFonts w:ascii="Cambria" w:hAnsi="Cambria"/>
        </w:rPr>
        <w:t xml:space="preserve"> define: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Semiconservas</w:t>
      </w:r>
      <w:r>
        <w:rPr>
          <w:rFonts w:ascii="Cambria" w:hAnsi="Cambria"/>
        </w:rPr>
        <w:t xml:space="preserve">: estabilizadas por tiempo limitado mediante tratamiento apropiado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Conservas</w:t>
      </w:r>
      <w:r>
        <w:rPr>
          <w:rFonts w:ascii="Cambria" w:hAnsi="Cambria"/>
        </w:rPr>
        <w:t xml:space="preserve">: estabilizadas por tratamiento autorizado que garantiza conservación prolongada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Tratamientos técnicos autorizados (art. 3, modificado por </w:t>
      </w:r>
      <w:r>
        <w:rPr>
          <w:rFonts w:ascii="Cambria" w:hAnsi="Cambria"/>
          <w:b/>
          <w:bCs/>
        </w:rPr>
        <w:t xml:space="preserve">Real Decreto 176/2013</w:t>
      </w:r>
      <w:r>
        <w:rPr>
          <w:rFonts w:ascii="Cambria" w:hAnsi="Cambria"/>
        </w:rPr>
        <w:t xml:space="preserve">):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Térmico</w:t>
      </w:r>
      <w:r>
        <w:rPr>
          <w:rFonts w:ascii="Cambria" w:hAnsi="Cambria"/>
        </w:rPr>
        <w:t xml:space="preserve">: esterilización industrial con envasado hermético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Congelación</w:t>
      </w:r>
      <w:r>
        <w:rPr>
          <w:rFonts w:ascii="Cambria" w:hAnsi="Cambria"/>
        </w:rPr>
        <w:t xml:space="preserve">: temperaturas iguales o inferiores a </w:t>
      </w:r>
      <w:r>
        <w:rPr>
          <w:rFonts w:ascii="Cambria" w:hAnsi="Cambria"/>
          <w:b/>
          <w:bCs/>
        </w:rPr>
        <w:t xml:space="preserve">−18 ºC</w:t>
      </w:r>
      <w:r>
        <w:rPr>
          <w:rFonts w:ascii="Cambria" w:hAnsi="Cambria"/>
        </w:rPr>
        <w:t xml:space="preserve">, según </w:t>
      </w:r>
      <w:r>
        <w:rPr>
          <w:rFonts w:ascii="Cambria" w:hAnsi="Cambria"/>
          <w:b/>
          <w:bCs/>
        </w:rPr>
        <w:t xml:space="preserve">Real Decreto 1109/1991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Deshidratación</w:t>
      </w:r>
      <w:r>
        <w:rPr>
          <w:rFonts w:ascii="Cambria" w:hAnsi="Cambria"/>
        </w:rPr>
        <w:t xml:space="preserve">: eliminación de humedad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Encurtido</w:t>
      </w:r>
      <w:r>
        <w:rPr>
          <w:rFonts w:ascii="Cambria" w:hAnsi="Cambria"/>
        </w:rPr>
        <w:t xml:space="preserve">: acción del vinagre o ácido acético sobre alimentos frescos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Principales productos: conserva de hortalizas, encurtidos ácidos y agridulces (mín. </w:t>
      </w:r>
      <w:r>
        <w:rPr>
          <w:rFonts w:ascii="Cambria" w:hAnsi="Cambria"/>
          <w:b/>
          <w:bCs/>
        </w:rPr>
        <w:t xml:space="preserve">7ºBrix</w:t>
      </w:r>
      <w:r>
        <w:rPr>
          <w:rFonts w:ascii="Cambria" w:hAnsi="Cambria"/>
        </w:rPr>
        <w:t xml:space="preserve">), pulpas en su jugo, frutos al natural, frutas en almíbar (mín. </w:t>
      </w:r>
      <w:r>
        <w:rPr>
          <w:rFonts w:ascii="Cambria" w:hAnsi="Cambria"/>
          <w:b/>
          <w:bCs/>
        </w:rPr>
        <w:t xml:space="preserve">14ºBrix</w:t>
      </w:r>
      <w:r>
        <w:rPr>
          <w:rFonts w:ascii="Cambria" w:hAnsi="Cambria"/>
        </w:rPr>
        <w:t xml:space="preserve">), compota (máx. </w:t>
      </w:r>
      <w:r>
        <w:rPr>
          <w:rFonts w:ascii="Cambria" w:hAnsi="Cambria"/>
          <w:b/>
          <w:bCs/>
        </w:rPr>
        <w:t xml:space="preserve">14ºBrix</w:t>
      </w:r>
      <w:r>
        <w:rPr>
          <w:rFonts w:ascii="Cambria" w:hAnsi="Cambria"/>
        </w:rPr>
        <w:t xml:space="preserve">), frutas confitadas (mín. </w:t>
      </w:r>
      <w:r>
        <w:rPr>
          <w:rFonts w:ascii="Cambria" w:hAnsi="Cambria"/>
          <w:b/>
          <w:bCs/>
        </w:rPr>
        <w:t xml:space="preserve">65ºBrix</w:t>
      </w:r>
      <w:r>
        <w:rPr>
          <w:rFonts w:ascii="Cambria" w:hAnsi="Cambria"/>
        </w:rPr>
        <w:t xml:space="preserve">), confitura y jalea (mín. </w:t>
      </w:r>
      <w:r>
        <w:rPr>
          <w:rFonts w:ascii="Cambria" w:hAnsi="Cambria"/>
          <w:b/>
          <w:bCs/>
        </w:rPr>
        <w:t xml:space="preserve">60ºBrix</w:t>
      </w:r>
      <w:r>
        <w:rPr>
          <w:rFonts w:ascii="Cambria" w:hAnsi="Cambria"/>
        </w:rPr>
        <w:t xml:space="preserve">), mermelada (</w:t>
      </w:r>
      <w:r>
        <w:rPr>
          <w:rFonts w:ascii="Cambria" w:hAnsi="Cambria"/>
          <w:b/>
          <w:bCs/>
        </w:rPr>
        <w:t xml:space="preserve">45-65ºBrix</w:t>
      </w:r>
      <w:r>
        <w:rPr>
          <w:rFonts w:ascii="Cambria" w:hAnsi="Cambria"/>
        </w:rPr>
        <w:t xml:space="preserve">), marmalade (mín. </w:t>
      </w:r>
      <w:r>
        <w:rPr>
          <w:rFonts w:ascii="Cambria" w:hAnsi="Cambria"/>
          <w:b/>
          <w:bCs/>
        </w:rPr>
        <w:t xml:space="preserve">60ºBrix</w:t>
      </w:r>
      <w:r>
        <w:rPr>
          <w:rFonts w:ascii="Cambria" w:hAnsi="Cambria"/>
        </w:rPr>
        <w:t xml:space="preserve">), crema de frutas (mín. </w:t>
      </w:r>
      <w:r>
        <w:rPr>
          <w:rFonts w:ascii="Cambria" w:hAnsi="Cambria"/>
          <w:b/>
          <w:bCs/>
        </w:rPr>
        <w:t xml:space="preserve">55ºBrix</w:t>
      </w:r>
      <w:r>
        <w:rPr>
          <w:rFonts w:ascii="Cambria" w:hAnsi="Cambria"/>
        </w:rPr>
        <w:t xml:space="preserve"> si es pasta), macedonia y mezcla de verduras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Regulación: </w:t>
      </w:r>
      <w:r>
        <w:rPr>
          <w:rFonts w:ascii="Cambria" w:hAnsi="Cambria"/>
          <w:b/>
          <w:bCs/>
        </w:rPr>
        <w:t xml:space="preserve">Real Decreto 2420/1978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Orden de 21 de noviembre de 1984</w:t>
      </w:r>
      <w:r>
        <w:rPr>
          <w:rFonts w:ascii="Cambria" w:hAnsi="Cambria"/>
        </w:rPr>
        <w:t xml:space="preserve"> sobre normas de calidad para conservas vegetales, y </w:t>
      </w:r>
      <w:r>
        <w:rPr>
          <w:rFonts w:ascii="Cambria" w:hAnsi="Cambria"/>
          <w:b/>
          <w:bCs/>
        </w:rPr>
        <w:t xml:space="preserve">Real Decreto 863/2003</w:t>
      </w:r>
      <w:r>
        <w:rPr>
          <w:rFonts w:ascii="Cambria" w:hAnsi="Cambria"/>
        </w:rPr>
        <w:t xml:space="preserve">, sobre confituras, jaleas, marmalades y crema de castaña, transposición de la </w:t>
      </w:r>
      <w:r>
        <w:rPr>
          <w:rFonts w:ascii="Cambria" w:hAnsi="Cambria"/>
          <w:b/>
          <w:bCs/>
        </w:rPr>
        <w:t xml:space="preserve">Directiva 2001/113/CE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Modificado por el </w:t>
      </w:r>
      <w:r>
        <w:rPr>
          <w:rFonts w:ascii="Cambria" w:hAnsi="Cambria"/>
          <w:b/>
          <w:bCs/>
        </w:rPr>
        <w:t xml:space="preserve">Real Decreto 1026/2025</w:t>
      </w:r>
      <w:r>
        <w:rPr>
          <w:rFonts w:ascii="Cambria" w:hAnsi="Cambria"/>
        </w:rPr>
        <w:t xml:space="preserve"> (aplicable desde el 14 de junio de 2026), que eleva la cantidad mínima de fruta, autoriza zumos concentrados y crea la categoría de contenido reducido de azúcares (reducción mínima del 30%)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2.2. Aceitunas de mesa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Real Decreto 679/2016</w:t>
      </w:r>
      <w:r>
        <w:rPr>
          <w:rFonts w:ascii="Cambria" w:hAnsi="Cambria"/>
        </w:rPr>
        <w:t xml:space="preserve"> establece la norma de calidad, definiéndolas como fruto del olivo cultivado sometido a elaboraciones (aderezo, curado con salmuera, oxidación, deshidratación)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Por coloración: verdes, de color cambiante, negras naturales y negras (oxidadas)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Por presentación: con hueso, deshuesadas, rellenas, en mitades, cuartos, gajos, troceadas, en rodajas, rotas, machacadas, punzadas, seccionadas, arrugadas, alcaparrado, para ensalada, colocadas, con pedúnculo, pasta y aderezadas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Categorías: </w:t>
      </w:r>
      <w:r>
        <w:rPr>
          <w:rFonts w:ascii="Cambria" w:hAnsi="Cambria"/>
          <w:b/>
          <w:bCs/>
        </w:rPr>
        <w:t xml:space="preserve">extra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primera o selecta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segunda o estándar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Variedades principales: </w:t>
      </w:r>
      <w:r>
        <w:rPr>
          <w:rFonts w:ascii="Cambria" w:hAnsi="Cambria"/>
          <w:b/>
          <w:bCs/>
        </w:rPr>
        <w:t xml:space="preserve">gordal</w:t>
      </w:r>
      <w:r>
        <w:rPr>
          <w:rFonts w:ascii="Cambria" w:hAnsi="Cambria"/>
        </w:rPr>
        <w:t xml:space="preserve"> (aceite inferior al 10%), </w:t>
      </w:r>
      <w:r>
        <w:rPr>
          <w:rFonts w:ascii="Cambria" w:hAnsi="Cambria"/>
          <w:b/>
          <w:bCs/>
        </w:rPr>
        <w:t xml:space="preserve">manzanilla</w:t>
      </w:r>
      <w:r>
        <w:rPr>
          <w:rFonts w:ascii="Cambria" w:hAnsi="Cambria"/>
        </w:rPr>
        <w:t xml:space="preserve"> (la más importante, inferior al 15%) y </w:t>
      </w:r>
      <w:r>
        <w:rPr>
          <w:rFonts w:ascii="Cambria" w:hAnsi="Cambria"/>
          <w:b/>
          <w:bCs/>
        </w:rPr>
        <w:t xml:space="preserve">hojiblanca</w:t>
      </w:r>
      <w:r>
        <w:rPr>
          <w:rFonts w:ascii="Cambria" w:hAnsi="Cambria"/>
        </w:rPr>
        <w:t xml:space="preserve"> (23-29%)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2.3. Productos de Gama IV y Gama V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Gama IV</w:t>
      </w:r>
      <w:r>
        <w:rPr>
          <w:rFonts w:ascii="Cambria" w:hAnsi="Cambria"/>
        </w:rPr>
        <w:t xml:space="preserve">: limpios, troceados y envasados, vida útil de unos 7 días, sin conservantes salvo atmósfera protectora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Gama V</w:t>
      </w:r>
      <w:r>
        <w:rPr>
          <w:rFonts w:ascii="Cambria" w:hAnsi="Cambria"/>
        </w:rPr>
        <w:t xml:space="preserve">: pasteurizados y envasados al vacío, requieren refrigeración, vida útil de 3 a 6 semanas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3. FACTORES DE CALIDAD COMERCIAL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calidad comercial</w:t>
      </w:r>
      <w:r>
        <w:rPr>
          <w:rFonts w:ascii="Cambria" w:hAnsi="Cambria"/>
        </w:rPr>
        <w:t xml:space="preserve"> es el valor añadido derivado de la selección, clasificación, verificación, acondicionamiento, envasado, almacenaje y transporte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Factores aplicables: calidad de la materia prima, tolerancias de defectos, proporciones mínimas de fruta u hortaliza, calibrado, presentación y categorías comerciales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Parámetros: etiquetado correcto, envasado con vacío y hermeticidad, peso neto y escurrido, características organolépticas y ausencia de defectos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Categorías comerciales genéricas: </w:t>
      </w:r>
      <w:r>
        <w:rPr>
          <w:rFonts w:ascii="Cambria" w:hAnsi="Cambria"/>
          <w:b/>
          <w:bCs/>
        </w:rPr>
        <w:t xml:space="preserve">extra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primera</w:t>
      </w:r>
      <w:r>
        <w:rPr>
          <w:rFonts w:ascii="Cambria" w:hAnsi="Cambria"/>
        </w:rPr>
        <w:t xml:space="preserve"> (tolerancia 10%) y </w:t>
      </w:r>
      <w:r>
        <w:rPr>
          <w:rFonts w:ascii="Cambria" w:hAnsi="Cambria"/>
          <w:b/>
          <w:bCs/>
        </w:rPr>
        <w:t xml:space="preserve">segunda</w:t>
      </w:r>
      <w:r>
        <w:rPr>
          <w:rFonts w:ascii="Cambria" w:hAnsi="Cambria"/>
        </w:rPr>
        <w:t xml:space="preserve"> (tolerancia 15%)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Para aceitunas de mesa: sanas, limpias, exentas de olores anormales, homogéneas en tamaño y color uniforme, salvo aliñadas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4. NORMATIVA APLICABLE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4.1. Política Agrícola Común (PAC)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Reglamento (CE) 1234/2007</w:t>
      </w:r>
      <w:r>
        <w:rPr>
          <w:rFonts w:ascii="Cambria" w:hAnsi="Cambria"/>
        </w:rPr>
        <w:t xml:space="preserve"> fue sustituido por el </w:t>
      </w:r>
      <w:r>
        <w:rPr>
          <w:rFonts w:ascii="Cambria" w:hAnsi="Cambria"/>
          <w:b/>
          <w:bCs/>
        </w:rPr>
        <w:t xml:space="preserve">Reglamento (UE) 1308/2013</w:t>
      </w:r>
      <w:r>
        <w:rPr>
          <w:rFonts w:ascii="Cambria" w:hAnsi="Cambria"/>
        </w:rPr>
        <w:t xml:space="preserve">, que crea la OCM Única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PAC 2023-2027</w:t>
      </w:r>
      <w:r>
        <w:rPr>
          <w:rFonts w:ascii="Cambria" w:hAnsi="Cambria"/>
        </w:rPr>
        <w:t xml:space="preserve"> se articula mediante: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2021/2115</w:t>
      </w:r>
      <w:r>
        <w:rPr>
          <w:rFonts w:ascii="Cambria" w:hAnsi="Cambria"/>
        </w:rPr>
        <w:t xml:space="preserve">, sobre planes estratégicos financiados por FEAGA y FEADER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2021/2116</w:t>
      </w:r>
      <w:r>
        <w:rPr>
          <w:rFonts w:ascii="Cambria" w:hAnsi="Cambria"/>
        </w:rPr>
        <w:t xml:space="preserve">, sobre financiación, gestión y seguimiento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2021/2117</w:t>
      </w:r>
      <w:r>
        <w:rPr>
          <w:rFonts w:ascii="Cambria" w:hAnsi="Cambria"/>
        </w:rPr>
        <w:t xml:space="preserve">, que modifica el Reglamento 1308/2013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Reglamento Ómnibus (UE) 2017/2393</w:t>
      </w:r>
      <w:r>
        <w:rPr>
          <w:rFonts w:ascii="Cambria" w:hAnsi="Cambria"/>
        </w:rPr>
        <w:t xml:space="preserve"> introduce simplificaciones: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Ayudas a jóvenes agricultores hasta el </w:t>
      </w:r>
      <w:r>
        <w:rPr>
          <w:rFonts w:ascii="Cambria" w:hAnsi="Cambria"/>
          <w:b/>
          <w:bCs/>
        </w:rPr>
        <w:t xml:space="preserve">50%</w:t>
      </w:r>
      <w:r>
        <w:rPr>
          <w:rFonts w:ascii="Cambria" w:hAnsi="Cambria"/>
        </w:rPr>
        <w:t xml:space="preserve"> del pago básico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Flexibilización de pagos acoplados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Umbral de compensación por pérdidas de ingresos reducido del 30% al 20%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4.2. Organización Común de Mercados (OCM)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Regulada por el </w:t>
      </w:r>
      <w:r>
        <w:rPr>
          <w:rFonts w:ascii="Cambria" w:hAnsi="Cambria"/>
          <w:b/>
          <w:bCs/>
        </w:rPr>
        <w:t xml:space="preserve">Reglamento (UE) 1308/2013</w:t>
      </w:r>
      <w:r>
        <w:rPr>
          <w:rFonts w:ascii="Cambria" w:hAnsi="Cambria"/>
        </w:rPr>
        <w:t xml:space="preserve">, modificado por el </w:t>
      </w:r>
      <w:r>
        <w:rPr>
          <w:rFonts w:ascii="Cambria" w:hAnsi="Cambria"/>
          <w:b/>
          <w:bCs/>
        </w:rPr>
        <w:t xml:space="preserve">Reglamento (UE) 2021/2117</w:t>
      </w:r>
      <w:r>
        <w:rPr>
          <w:rFonts w:ascii="Cambria" w:hAnsi="Cambria"/>
        </w:rPr>
        <w:t xml:space="preserve">, basada en unidad de mercado, solidaridad financiera y preferencia comunitaria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Las normas de comercialización de productos frescos y transformados se unifican en el </w:t>
      </w:r>
      <w:r>
        <w:rPr>
          <w:rFonts w:ascii="Cambria" w:hAnsi="Cambria"/>
          <w:b/>
          <w:bCs/>
        </w:rPr>
        <w:t xml:space="preserve">Reglamento Delegado (UE) 2023/2429</w:t>
      </w:r>
      <w:r>
        <w:rPr>
          <w:rFonts w:ascii="Cambria" w:hAnsi="Cambria"/>
        </w:rPr>
        <w:t xml:space="preserve"> y el </w:t>
      </w:r>
      <w:r>
        <w:rPr>
          <w:rFonts w:ascii="Cambria" w:hAnsi="Cambria"/>
          <w:b/>
          <w:bCs/>
        </w:rPr>
        <w:t xml:space="preserve">Reglamento de Ejecución (UE) 2023/2430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Referencia internacional en el grupo </w:t>
      </w:r>
      <w:r>
        <w:rPr>
          <w:rFonts w:ascii="Cambria" w:hAnsi="Cambria"/>
          <w:b/>
          <w:bCs/>
        </w:rPr>
        <w:t xml:space="preserve">WP7</w:t>
      </w:r>
      <w:r>
        <w:rPr>
          <w:rFonts w:ascii="Cambria" w:hAnsi="Cambria"/>
        </w:rPr>
        <w:t xml:space="preserve"> de la CEPE/UN y el </w:t>
      </w:r>
      <w:r>
        <w:rPr>
          <w:rFonts w:ascii="Cambria" w:hAnsi="Cambria"/>
          <w:b/>
          <w:bCs/>
        </w:rPr>
        <w:t xml:space="preserve">Acuerdo de Ginebra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Constitución de </w:t>
      </w:r>
      <w:r>
        <w:rPr>
          <w:rFonts w:ascii="Cambria" w:hAnsi="Cambria"/>
          <w:b/>
          <w:bCs/>
        </w:rPr>
        <w:t xml:space="preserve">Organizaciones de Productores</w:t>
      </w:r>
      <w:r>
        <w:rPr>
          <w:rFonts w:ascii="Cambria" w:hAnsi="Cambria"/>
        </w:rPr>
        <w:t xml:space="preserve"> e </w:t>
      </w:r>
      <w:r>
        <w:rPr>
          <w:rFonts w:ascii="Cambria" w:hAnsi="Cambria"/>
          <w:b/>
          <w:bCs/>
        </w:rPr>
        <w:t xml:space="preserve">Interprofesionales</w:t>
      </w:r>
      <w:r>
        <w:rPr>
          <w:rFonts w:ascii="Cambria" w:hAnsi="Cambria"/>
        </w:rPr>
        <w:t xml:space="preserve">: </w:t>
      </w:r>
      <w:r>
        <w:rPr>
          <w:rFonts w:ascii="Cambria" w:hAnsi="Cambria"/>
          <w:b/>
          <w:bCs/>
        </w:rPr>
        <w:t xml:space="preserve">ASEMESA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INTERACEITUNA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ANFCOV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Régimen de intervención: </w:t>
      </w:r>
      <w:r>
        <w:rPr>
          <w:rFonts w:ascii="Cambria" w:hAnsi="Cambria"/>
          <w:b/>
          <w:bCs/>
        </w:rPr>
        <w:t xml:space="preserve">FEGA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FEAGA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Sustitución del Pago Único por el </w:t>
      </w:r>
      <w:r>
        <w:rPr>
          <w:rFonts w:ascii="Cambria" w:hAnsi="Cambria"/>
          <w:b/>
          <w:bCs/>
        </w:rPr>
        <w:t xml:space="preserve">Pago Básico a la Sostenibilidad (BISS)</w:t>
      </w:r>
      <w:r>
        <w:rPr>
          <w:rFonts w:ascii="Cambria" w:hAnsi="Cambria"/>
        </w:rPr>
        <w:t xml:space="preserve">, con eco-regímenes y condicionalidad reforzada (</w:t>
      </w:r>
      <w:r>
        <w:rPr>
          <w:rFonts w:ascii="Cambria" w:hAnsi="Cambria"/>
          <w:b/>
          <w:bCs/>
        </w:rPr>
        <w:t xml:space="preserve">BCAM</w:t>
      </w:r>
      <w:r>
        <w:rPr>
          <w:rFonts w:ascii="Cambria" w:hAnsi="Cambria"/>
        </w:rPr>
        <w:t xml:space="preserve">)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 mantienen pagos acoplados para el tomate industrial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Medidas de intercambio con terceros países: aranceles, contingentes, salvaguardias y certificados de importación o exportación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4.3. Normativa voluntaria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Normas </w:t>
      </w:r>
      <w:r>
        <w:rPr>
          <w:rFonts w:ascii="Cambria" w:hAnsi="Cambria"/>
          <w:b/>
          <w:bCs/>
        </w:rPr>
        <w:t xml:space="preserve">CEPE/UN</w:t>
      </w:r>
      <w:r>
        <w:rPr>
          <w:rFonts w:ascii="Cambria" w:hAnsi="Cambria"/>
        </w:rPr>
        <w:t xml:space="preserve">, de carácter voluntario, elaboradas por el </w:t>
      </w:r>
      <w:r>
        <w:rPr>
          <w:rFonts w:ascii="Cambria" w:hAnsi="Cambria"/>
          <w:b/>
          <w:bCs/>
        </w:rPr>
        <w:t xml:space="preserve">WP7</w:t>
      </w:r>
      <w:r>
        <w:rPr>
          <w:rFonts w:ascii="Cambria" w:hAnsi="Cambria"/>
        </w:rPr>
        <w:t xml:space="preserve">, con 4 secciones especializadas, una de ellas en frutas y hortalizas, vinculadas al desperdicio alimenticio y la trazabilidad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Folletos interpretativos de la </w:t>
      </w:r>
      <w:r>
        <w:rPr>
          <w:rFonts w:ascii="Cambria" w:hAnsi="Cambria"/>
          <w:b/>
          <w:bCs/>
        </w:rPr>
        <w:t xml:space="preserve">OCDE</w:t>
      </w:r>
      <w:r>
        <w:rPr>
          <w:rFonts w:ascii="Cambria" w:hAnsi="Cambria"/>
        </w:rPr>
        <w:t xml:space="preserve">, con texto oficial, ilustraciones y cartas colorimétricas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Normas </w:t>
      </w:r>
      <w:r>
        <w:rPr>
          <w:rFonts w:ascii="Cambria" w:hAnsi="Cambria"/>
          <w:b/>
          <w:bCs/>
        </w:rPr>
        <w:t xml:space="preserve">CODEX</w:t>
      </w:r>
      <w:r>
        <w:rPr>
          <w:rFonts w:ascii="Cambria" w:hAnsi="Cambria"/>
        </w:rPr>
        <w:t xml:space="preserve">, voluntarias, para proteger la salud del consumidor y el comercio justo, destacando la norma para la aceituna de mesa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Normas </w:t>
      </w:r>
      <w:r>
        <w:rPr>
          <w:rFonts w:ascii="Cambria" w:hAnsi="Cambria"/>
          <w:b/>
          <w:bCs/>
        </w:rPr>
        <w:t xml:space="preserve">UNE</w:t>
      </w:r>
      <w:r>
        <w:rPr>
          <w:rFonts w:ascii="Cambria" w:hAnsi="Cambria"/>
        </w:rPr>
        <w:t xml:space="preserve"> de AENOR sobre producción controlada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Producción ecológica</w:t>
      </w:r>
      <w:r>
        <w:rPr>
          <w:rFonts w:ascii="Cambria" w:hAnsi="Cambria"/>
        </w:rPr>
        <w:t xml:space="preserve">: </w:t>
      </w:r>
      <w:r>
        <w:rPr>
          <w:rFonts w:ascii="Cambria" w:hAnsi="Cambria"/>
          <w:b/>
          <w:bCs/>
        </w:rPr>
        <w:t xml:space="preserve">Reglamento (UE) 2018/848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Modificado por el </w:t>
      </w:r>
      <w:r>
        <w:rPr>
          <w:rFonts w:ascii="Cambria" w:hAnsi="Cambria"/>
          <w:b/>
          <w:bCs/>
        </w:rPr>
        <w:t xml:space="preserve">Reglamento de Ejecución (UE) 2016/1842</w:t>
      </w:r>
      <w:r>
        <w:rPr>
          <w:rFonts w:ascii="Cambria" w:hAnsi="Cambria"/>
        </w:rPr>
        <w:t xml:space="preserve">, sobre certificado electrónico de productos ecológicos importados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SOIVRE</w:t>
      </w:r>
      <w:r>
        <w:rPr>
          <w:rFonts w:ascii="Cambria" w:hAnsi="Cambria"/>
        </w:rPr>
        <w:t xml:space="preserve">, según </w:t>
      </w:r>
      <w:r>
        <w:rPr>
          <w:rFonts w:ascii="Cambria" w:hAnsi="Cambria"/>
          <w:b/>
          <w:bCs/>
        </w:rPr>
        <w:t xml:space="preserve">Orden ECC/1936/2014</w:t>
      </w:r>
      <w:r>
        <w:rPr>
          <w:rFonts w:ascii="Cambria" w:hAnsi="Cambria"/>
        </w:rPr>
        <w:t xml:space="preserve">, controla productos agrarios vivos o transformados, piensos, materiales de reproducción y levaduras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Producción integrada</w:t>
      </w:r>
      <w:r>
        <w:rPr>
          <w:rFonts w:ascii="Cambria" w:hAnsi="Cambria"/>
        </w:rPr>
        <w:t xml:space="preserve">: regulada por el </w:t>
      </w:r>
      <w:r>
        <w:rPr>
          <w:rFonts w:ascii="Cambria" w:hAnsi="Cambria"/>
          <w:b/>
          <w:bCs/>
        </w:rPr>
        <w:t xml:space="preserve">Real Decreto 1201/2002</w:t>
      </w:r>
      <w:r>
        <w:rPr>
          <w:rFonts w:ascii="Cambria" w:hAnsi="Cambria"/>
        </w:rPr>
        <w:t xml:space="preserve">, con logotipo según </w:t>
      </w:r>
      <w:r>
        <w:rPr>
          <w:rFonts w:ascii="Cambria" w:hAnsi="Cambria"/>
          <w:b/>
          <w:bCs/>
        </w:rPr>
        <w:t xml:space="preserve">Orden APA/1/2004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DOP, IGP y ETG</w:t>
      </w:r>
      <w:r>
        <w:rPr>
          <w:rFonts w:ascii="Cambria" w:hAnsi="Cambria"/>
        </w:rPr>
        <w:t xml:space="preserve">: reguladas por el </w:t>
      </w:r>
      <w:r>
        <w:rPr>
          <w:rFonts w:ascii="Cambria" w:hAnsi="Cambria"/>
          <w:b/>
          <w:bCs/>
        </w:rPr>
        <w:t xml:space="preserve">Reglamento (UE) 2024/1143</w:t>
      </w:r>
      <w:r>
        <w:rPr>
          <w:rFonts w:ascii="Cambria" w:hAnsi="Cambria"/>
        </w:rPr>
        <w:t xml:space="preserve">, ejecutado en España por la </w:t>
      </w:r>
      <w:r>
        <w:rPr>
          <w:rFonts w:ascii="Cambria" w:hAnsi="Cambria"/>
          <w:b/>
          <w:bCs/>
        </w:rPr>
        <w:t xml:space="preserve">Ley 6/2015</w:t>
      </w:r>
      <w:r>
        <w:rPr>
          <w:rFonts w:ascii="Cambria" w:hAnsi="Cambria"/>
        </w:rPr>
        <w:t xml:space="preserve">, atribuyendo a la </w:t>
      </w:r>
      <w:r>
        <w:rPr>
          <w:rFonts w:ascii="Cambria" w:hAnsi="Cambria"/>
          <w:b/>
          <w:bCs/>
        </w:rPr>
        <w:t xml:space="preserve">AICA</w:t>
      </w:r>
      <w:r>
        <w:rPr>
          <w:rFonts w:ascii="Cambria" w:hAnsi="Cambria"/>
        </w:rPr>
        <w:t xml:space="preserve"> el control de comercialización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Orden PRE/3026/2003</w:t>
      </w:r>
      <w:r>
        <w:rPr>
          <w:rFonts w:ascii="Cambria" w:hAnsi="Cambria"/>
        </w:rPr>
        <w:t xml:space="preserve">, modificada por </w:t>
      </w:r>
      <w:r>
        <w:rPr>
          <w:rFonts w:ascii="Cambria" w:hAnsi="Cambria"/>
          <w:b/>
          <w:bCs/>
        </w:rPr>
        <w:t xml:space="preserve">Orden ECC/2257/2013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Orden ECC/2566/2015</w:t>
      </w:r>
      <w:r>
        <w:rPr>
          <w:rFonts w:ascii="Cambria" w:hAnsi="Cambria"/>
        </w:rPr>
        <w:t xml:space="preserve">, regula la inspección de calidad comercial en comercio exterior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SOIVRE ya no controla la calidad comercial en importación y exportación de aceitunas de mesa procesadas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4.4. Normativa específica del sector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679/2016</w:t>
      </w:r>
      <w:r>
        <w:rPr>
          <w:rFonts w:ascii="Cambria" w:hAnsi="Cambria"/>
        </w:rPr>
        <w:t xml:space="preserve">, norma de calidad de las aceitunas de mesa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946/2003</w:t>
      </w:r>
      <w:r>
        <w:rPr>
          <w:rFonts w:ascii="Cambria" w:hAnsi="Cambria"/>
        </w:rPr>
        <w:t xml:space="preserve">, etiquetado del espárrago blanco en conserva, exigiendo indicar el origen exacto de cultivo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1109/1991</w:t>
      </w:r>
      <w:r>
        <w:rPr>
          <w:rFonts w:ascii="Cambria" w:hAnsi="Cambria"/>
        </w:rPr>
        <w:t xml:space="preserve">, sobre alimentos ultracongelados, con temperaturas iguales o inferiores a </w:t>
      </w:r>
      <w:r>
        <w:rPr>
          <w:rFonts w:ascii="Cambria" w:hAnsi="Cambria"/>
          <w:b/>
          <w:bCs/>
        </w:rPr>
        <w:t xml:space="preserve">−18 ºC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863/2003</w:t>
      </w:r>
      <w:r>
        <w:rPr>
          <w:rFonts w:ascii="Cambria" w:hAnsi="Cambria"/>
        </w:rPr>
        <w:t xml:space="preserve">, norma de calidad de confituras, jaleas, marmalades y crema de castaña, modificado por el </w:t>
      </w:r>
      <w:r>
        <w:rPr>
          <w:rFonts w:ascii="Cambria" w:hAnsi="Cambria"/>
          <w:b/>
          <w:bCs/>
        </w:rPr>
        <w:t xml:space="preserve">Real Decreto 1026/2025</w:t>
      </w:r>
      <w:r>
        <w:rPr>
          <w:rFonts w:ascii="Cambria" w:hAnsi="Cambria"/>
        </w:rPr>
        <w:t xml:space="preserve">, que incrementa la fruta mínima y crea categorías de azúcar reducido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781/2013</w:t>
      </w:r>
      <w:r>
        <w:rPr>
          <w:rFonts w:ascii="Cambria" w:hAnsi="Cambria"/>
        </w:rPr>
        <w:t xml:space="preserve">, normas de calidad de zumos de frutas, también modificado por el </w:t>
      </w:r>
      <w:r>
        <w:rPr>
          <w:rFonts w:ascii="Cambria" w:hAnsi="Cambria"/>
          <w:b/>
          <w:bCs/>
        </w:rPr>
        <w:t xml:space="preserve">Real Decreto 1026/2025</w:t>
      </w:r>
      <w:r>
        <w:rPr>
          <w:rFonts w:ascii="Cambria" w:hAnsi="Cambria"/>
        </w:rPr>
        <w:t xml:space="preserve">, habilitando nuevas categorías de contenido reducido de azúcares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4.5. Normativa general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175/2004</w:t>
      </w:r>
      <w:r>
        <w:rPr>
          <w:rFonts w:ascii="Cambria" w:hAnsi="Cambria"/>
        </w:rPr>
        <w:t xml:space="preserve">, designa a la Secretaría de Estado de Comercio como autoridad de control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(CE) 396/2005</w:t>
      </w:r>
      <w:r>
        <w:rPr>
          <w:rFonts w:ascii="Cambria" w:hAnsi="Cambria"/>
        </w:rPr>
        <w:t xml:space="preserve">, límites máximos de residuos de plaguicidas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2023/915</w:t>
      </w:r>
      <w:r>
        <w:rPr>
          <w:rFonts w:ascii="Cambria" w:hAnsi="Cambria"/>
        </w:rPr>
        <w:t xml:space="preserve">, límites máximos de contaminantes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1169/2011</w:t>
      </w:r>
      <w:r>
        <w:rPr>
          <w:rFonts w:ascii="Cambria" w:hAnsi="Cambria"/>
        </w:rPr>
        <w:t xml:space="preserve">, información al consumidor y etiquetado nutricional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1055/2022</w:t>
      </w:r>
      <w:r>
        <w:rPr>
          <w:rFonts w:ascii="Cambria" w:hAnsi="Cambria"/>
        </w:rPr>
        <w:t xml:space="preserve">, envases y residuos de envases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Paquete de higiene: </w:t>
      </w:r>
      <w:r>
        <w:rPr>
          <w:rFonts w:ascii="Cambria" w:hAnsi="Cambria"/>
          <w:b/>
          <w:bCs/>
        </w:rPr>
        <w:t xml:space="preserve">Reglamento (CE) 852/2004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Reglamento (CE) 853/2004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Reglamento (UE) 2017/625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Ley 28/2015</w:t>
      </w:r>
      <w:r>
        <w:rPr>
          <w:rFonts w:ascii="Cambria" w:hAnsi="Cambria"/>
        </w:rPr>
        <w:t xml:space="preserve">, defensa de la calidad alimentaria, con régimen sancionador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Ley 1/2025</w:t>
      </w:r>
      <w:r>
        <w:rPr>
          <w:rFonts w:ascii="Cambria" w:hAnsi="Cambria"/>
        </w:rPr>
        <w:t xml:space="preserve">, prevención de pérdidas y desperdicio alimentario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5. ANÁLISIS SECTORIAL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industria transformadora se concentra en Murcia, Comunidad Valenciana, Andalucía, Cataluña, Navarra, Castilla-La Mancha y Castilla y León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Según </w:t>
      </w:r>
      <w:r>
        <w:rPr>
          <w:rFonts w:ascii="Cambria" w:hAnsi="Cambria"/>
          <w:b/>
          <w:bCs/>
        </w:rPr>
        <w:t xml:space="preserve">DATACOMEX</w:t>
      </w:r>
      <w:r>
        <w:rPr>
          <w:rFonts w:ascii="Cambria" w:hAnsi="Cambria"/>
        </w:rPr>
        <w:t xml:space="preserve">, en 2025 el sector de conservas vegetales presenta superávit de </w:t>
      </w:r>
      <w:r>
        <w:rPr>
          <w:rFonts w:ascii="Cambria" w:hAnsi="Cambria"/>
          <w:b/>
          <w:bCs/>
        </w:rPr>
        <w:t xml:space="preserve">2.372 M€</w:t>
      </w:r>
      <w:r>
        <w:rPr>
          <w:rFonts w:ascii="Cambria" w:hAnsi="Cambria"/>
        </w:rPr>
        <w:t xml:space="preserve">, exportaciones de </w:t>
      </w:r>
      <w:r>
        <w:rPr>
          <w:rFonts w:ascii="Cambria" w:hAnsi="Cambria"/>
          <w:b/>
          <w:bCs/>
        </w:rPr>
        <w:t xml:space="preserve">4.374,9 M€</w:t>
      </w:r>
      <w:r>
        <w:rPr>
          <w:rFonts w:ascii="Cambria" w:hAnsi="Cambria"/>
        </w:rPr>
        <w:t xml:space="preserve"> (4,7% del sector agroalimentario) e importaciones de </w:t>
      </w:r>
      <w:r>
        <w:rPr>
          <w:rFonts w:ascii="Cambria" w:hAnsi="Cambria"/>
          <w:b/>
          <w:bCs/>
        </w:rPr>
        <w:t xml:space="preserve">2.002 M€</w:t>
      </w:r>
      <w:r>
        <w:rPr>
          <w:rFonts w:ascii="Cambria" w:hAnsi="Cambria"/>
        </w:rPr>
        <w:t xml:space="preserve"> (2,9%)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56,2%</w:t>
      </w:r>
      <w:r>
        <w:rPr>
          <w:rFonts w:ascii="Cambria" w:hAnsi="Cambria"/>
        </w:rPr>
        <w:t xml:space="preserve"> de las importaciones procede de la UE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Zumos</w:t>
      </w:r>
      <w:r>
        <w:rPr>
          <w:rFonts w:ascii="Cambria" w:hAnsi="Cambria"/>
        </w:rPr>
        <w:t xml:space="preserve">: primer producto, </w:t>
      </w:r>
      <w:r>
        <w:rPr>
          <w:rFonts w:ascii="Cambria" w:hAnsi="Cambria"/>
          <w:b/>
          <w:bCs/>
        </w:rPr>
        <w:t xml:space="preserve">23,3%</w:t>
      </w:r>
      <w:r>
        <w:rPr>
          <w:rFonts w:ascii="Cambria" w:hAnsi="Cambria"/>
        </w:rPr>
        <w:t xml:space="preserve"> de las exportaciones, principalmente cítricos, destino UE y Reino Unido, con superávit. Importaciones destacadas de Brasil, Países Bajos e Irlanda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Aceitunas de mesa</w:t>
      </w:r>
      <w:r>
        <w:rPr>
          <w:rFonts w:ascii="Cambria" w:hAnsi="Cambria"/>
        </w:rPr>
        <w:t xml:space="preserve">: segundo producto, </w:t>
      </w:r>
      <w:r>
        <w:rPr>
          <w:rFonts w:ascii="Cambria" w:hAnsi="Cambria"/>
          <w:b/>
          <w:bCs/>
        </w:rPr>
        <w:t xml:space="preserve">22,5%</w:t>
      </w:r>
      <w:r>
        <w:rPr>
          <w:rFonts w:ascii="Cambria" w:hAnsi="Cambria"/>
        </w:rPr>
        <w:t xml:space="preserve"> de las exportaciones, España mayor productor mundial, destinos EEUU, Italia y Francia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arancel antidumping de EEUU de 2017 provocó una caída del </w:t>
      </w:r>
      <w:r>
        <w:rPr>
          <w:rFonts w:ascii="Cambria" w:hAnsi="Cambria"/>
          <w:b/>
          <w:bCs/>
        </w:rPr>
        <w:t xml:space="preserve">70%</w:t>
      </w:r>
      <w:r>
        <w:rPr>
          <w:rFonts w:ascii="Cambria" w:hAnsi="Cambria"/>
        </w:rPr>
        <w:t xml:space="preserve"> en aceitunas negras, aunque el sector logró un aumento del 5% en exportaciones globales en 2019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Conservas de frutas</w:t>
      </w:r>
      <w:r>
        <w:rPr>
          <w:rFonts w:ascii="Cambria" w:hAnsi="Cambria"/>
        </w:rPr>
        <w:t xml:space="preserve">: superávit, destacan almendras, pistachos, melocotones y cítricos, con importaciones de piña y avellanas desde Tailandia e Indonesia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Conservas de hortalizas</w:t>
      </w:r>
      <w:r>
        <w:rPr>
          <w:rFonts w:ascii="Cambria" w:hAnsi="Cambria"/>
        </w:rPr>
        <w:t xml:space="preserve">: España tercer productor europeo, superávit, importaciones del </w:t>
      </w:r>
      <w:r>
        <w:rPr>
          <w:rFonts w:ascii="Cambria" w:hAnsi="Cambria"/>
          <w:b/>
          <w:bCs/>
        </w:rPr>
        <w:t xml:space="preserve">45%</w:t>
      </w:r>
      <w:r>
        <w:rPr>
          <w:rFonts w:ascii="Cambria" w:hAnsi="Cambria"/>
        </w:rPr>
        <w:t xml:space="preserve"> del grupo, mayoritariamente de la UE, salvo espárragos de Perú y China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Vegetales congelados</w:t>
      </w:r>
      <w:r>
        <w:rPr>
          <w:rFonts w:ascii="Cambria" w:hAnsi="Cambria"/>
        </w:rPr>
        <w:t xml:space="preserve">: </w:t>
      </w:r>
      <w:r>
        <w:rPr>
          <w:rFonts w:ascii="Cambria" w:hAnsi="Cambria"/>
          <w:b/>
          <w:bCs/>
        </w:rPr>
        <w:t xml:space="preserve">10%</w:t>
      </w:r>
      <w:r>
        <w:rPr>
          <w:rFonts w:ascii="Cambria" w:hAnsi="Cambria"/>
        </w:rPr>
        <w:t xml:space="preserve"> del sector (900 M€), exportaciones al 70% a la UE, importaciones al 75% desde la UE, con superávit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Gama IV</w:t>
      </w:r>
      <w:r>
        <w:rPr>
          <w:rFonts w:ascii="Cambria" w:hAnsi="Cambria"/>
        </w:rPr>
        <w:t xml:space="preserve">: en crecimiento, Navarra principal productor nacional, impulsada por marcas blancas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Los aranceles de EEUU de 2025 (</w:t>
      </w:r>
      <w:r>
        <w:rPr>
          <w:rFonts w:ascii="Cambria" w:hAnsi="Cambria"/>
          <w:b/>
          <w:bCs/>
        </w:rPr>
        <w:t xml:space="preserve">10%</w:t>
      </w:r>
      <w:r>
        <w:rPr>
          <w:rFonts w:ascii="Cambria" w:hAnsi="Cambria"/>
        </w:rPr>
        <w:t xml:space="preserve"> general más adicionales) afectaron a zumos, conservas y transformados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acuerdo UE-EEUU de mayo de 2026 protege el </w:t>
      </w:r>
      <w:r>
        <w:rPr>
          <w:rFonts w:ascii="Cambria" w:hAnsi="Cambria"/>
          <w:b/>
          <w:bCs/>
        </w:rPr>
        <w:t xml:space="preserve">90%</w:t>
      </w:r>
      <w:r>
        <w:rPr>
          <w:rFonts w:ascii="Cambria" w:hAnsi="Cambria"/>
        </w:rPr>
        <w:t xml:space="preserve"> de las exportaciones hortofrutícolas frescas, sin incluir transformados, cuya negociación queda pendiente para el tercer trimestre de 2026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6. CONCLUSIÓN</w:t>
      </w:r>
    </w:p>
    <w:p>
      <w:pPr>
        <w:jc w:val="both"/>
        <w:rPr>
          <w:rFonts w:ascii="Cambria" w:hAnsi="Cambria"/>
        </w:rPr>
      </w:pPr>
      <w:r>
        <w:rPr>
          <w:rFonts w:ascii="Cambria" w:hAnsi="Cambria"/>
        </w:rPr>
        <w:t xml:space="preserve">El sector de conservas y semiconservas vegetales constituye un pilar del tejido agroalimentario español, con un superávit de </w:t>
      </w:r>
      <w:r>
        <w:rPr>
          <w:rFonts w:ascii="Cambria" w:hAnsi="Cambria"/>
          <w:b/>
          <w:bCs/>
        </w:rPr>
        <w:t xml:space="preserve">2.372 M€</w:t>
      </w:r>
      <w:r>
        <w:rPr>
          <w:rFonts w:ascii="Cambria" w:hAnsi="Cambria"/>
        </w:rPr>
        <w:t xml:space="preserve"> y una industria altamente especializada en aceitunas de mesa, zumos cítricos y conservas de hortalizas.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Persisten tensiones comerciales: los transformados quedan fuera del acuerdo UE-EEUU de 2026, y el arancel antidumping de 2017 mantiene efectos sobre las aceitunas negras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Acuerdo UE-Mercosur intensifica la competencia de Brasil en zumos cítricos y congelados, mientras Marruecos presiona sobre las aceitunas de mesa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liderazgo exportador español requerirá diferenciación por calidad, impulso de las DOP, innovación y apertura de mercados alternativos, junto con condiciones equilibradas de competencia exigidas por la UE</w:t>
      </w:r>
    </w:p>
    <w:sectPr w:rsidR="00A65383" w:rsidRPr="007114D7">
      <w:footerReference w:type="default" r:id="rId900"/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43E737" w14:textId="77777777" w:rsidR="00F85B76" w:rsidRDefault="00F85B76" w:rsidP="00F85B76">
      <w:pPr>
        <w:spacing w:after="0" w:line="240" w:lineRule="auto"/>
      </w:pPr>
      <w:r>
        <w:separator/>
      </w:r>
    </w:p>
  </w:endnote>
  <w:endnote w:type="continuationSeparator" w:id="0">
    <w:p w14:paraId="147C91B0" w14:textId="77777777" w:rsidR="00F85B76" w:rsidRDefault="00F85B76" w:rsidP="00F85B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er1.xml><?xml version="1.0" encoding="utf-8"?>
<w:ftr xmlns:w="http://schemas.openxmlformats.org/wordprocessingml/2006/main">
  <w:p>
    <w:pPr>
      <w:pStyle w:val="Piedepgina"/>
      <w:jc w:val="center"/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</w:pPr>
    <w:r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  <w:t>SERGIO ARGUDO SANTIAGO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8BA500" w14:textId="77777777" w:rsidR="00F85B76" w:rsidRDefault="00F85B76" w:rsidP="00F85B76">
      <w:pPr>
        <w:spacing w:after="0" w:line="240" w:lineRule="auto"/>
      </w:pPr>
      <w:r>
        <w:separator/>
      </w:r>
    </w:p>
  </w:footnote>
  <w:footnote w:type="continuationSeparator" w:id="0">
    <w:p w14:paraId="5EBB74E5" w14:textId="77777777" w:rsidR="00F85B76" w:rsidRDefault="00F85B76" w:rsidP="00F85B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Encabezado"/>
      <w:jc w:val="both"/>
      <w:rPr>
        <w:rFonts w:ascii="Palatino Linotype" w:hAnsi="Palatino Linotype"/>
        <w:i/>
        <w:iCs/>
      </w:rPr>
    </w:pPr>
    <w:r>
      <w:rPr>
        <w:rFonts w:ascii="Palatino Linotype" w:hAnsi="Palatino Linotype"/>
        <w:i/>
        <w:iCs/>
      </w:rPr>
      <w:t xml:space="preserve">TEMA 10 – Sector de conservas y semiconservas vegetales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82A5E"/>
    <w:multiLevelType w:val="multilevel"/>
    <w:tmpl w:val="17686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BA086D"/>
    <w:multiLevelType w:val="multilevel"/>
    <w:tmpl w:val="C6368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764527"/>
    <w:multiLevelType w:val="multilevel"/>
    <w:tmpl w:val="4484D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B9671D"/>
    <w:multiLevelType w:val="multilevel"/>
    <w:tmpl w:val="FF7AB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145E70"/>
    <w:multiLevelType w:val="multilevel"/>
    <w:tmpl w:val="4CF84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082AA3"/>
    <w:multiLevelType w:val="multilevel"/>
    <w:tmpl w:val="E6004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E72879"/>
    <w:multiLevelType w:val="multilevel"/>
    <w:tmpl w:val="C3DA2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9A5A7F"/>
    <w:multiLevelType w:val="multilevel"/>
    <w:tmpl w:val="EE363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890683"/>
    <w:multiLevelType w:val="multilevel"/>
    <w:tmpl w:val="F0EAD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3F2D55"/>
    <w:multiLevelType w:val="multilevel"/>
    <w:tmpl w:val="BCE41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AC63FF"/>
    <w:multiLevelType w:val="multilevel"/>
    <w:tmpl w:val="10A62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9A721B"/>
    <w:multiLevelType w:val="multilevel"/>
    <w:tmpl w:val="9654A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E9D13DD"/>
    <w:multiLevelType w:val="multilevel"/>
    <w:tmpl w:val="88A6E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2984031">
    <w:abstractNumId w:val="7"/>
  </w:num>
  <w:num w:numId="2" w16cid:durableId="936329550">
    <w:abstractNumId w:val="4"/>
  </w:num>
  <w:num w:numId="3" w16cid:durableId="11223434">
    <w:abstractNumId w:val="0"/>
  </w:num>
  <w:num w:numId="4" w16cid:durableId="1698307743">
    <w:abstractNumId w:val="12"/>
  </w:num>
  <w:num w:numId="5" w16cid:durableId="1213886216">
    <w:abstractNumId w:val="11"/>
  </w:num>
  <w:num w:numId="6" w16cid:durableId="1037045334">
    <w:abstractNumId w:val="6"/>
  </w:num>
  <w:num w:numId="7" w16cid:durableId="638070075">
    <w:abstractNumId w:val="3"/>
  </w:num>
  <w:num w:numId="8" w16cid:durableId="616715768">
    <w:abstractNumId w:val="10"/>
  </w:num>
  <w:num w:numId="9" w16cid:durableId="1616985504">
    <w:abstractNumId w:val="9"/>
  </w:num>
  <w:num w:numId="10" w16cid:durableId="1055738181">
    <w:abstractNumId w:val="8"/>
  </w:num>
  <w:num w:numId="11" w16cid:durableId="928273277">
    <w:abstractNumId w:val="1"/>
  </w:num>
  <w:num w:numId="12" w16cid:durableId="919099836">
    <w:abstractNumId w:val="2"/>
  </w:num>
  <w:num w:numId="13" w16cid:durableId="5224786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B76"/>
    <w:rsid w:val="00457D88"/>
    <w:rsid w:val="005803BC"/>
    <w:rsid w:val="00600D28"/>
    <w:rsid w:val="00656837"/>
    <w:rsid w:val="006A0D39"/>
    <w:rsid w:val="007114D7"/>
    <w:rsid w:val="00975640"/>
    <w:rsid w:val="00A65383"/>
    <w:rsid w:val="00A8675C"/>
    <w:rsid w:val="00BB1DEC"/>
    <w:rsid w:val="00C12CFD"/>
    <w:rsid w:val="00D45530"/>
    <w:rsid w:val="00E15422"/>
    <w:rsid w:val="00E7657A"/>
    <w:rsid w:val="00EE6C5F"/>
    <w:rsid w:val="00F85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DAF6C1"/>
  <w15:chartTrackingRefBased/>
  <w15:docId w15:val="{B64D109C-3694-4C93-A841-AE8DEB4F80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85B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85B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85B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85B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85B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85B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85B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85B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85B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85B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85B7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85B7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85B7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85B7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85B7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85B7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85B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85B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85B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85B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85B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85B76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F85B7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85B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85B7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85B7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85B76"/>
  </w:style>
  <w:style w:type="paragraph" w:styleId="Piedepgina">
    <w:name w:val="footer"/>
    <w:basedOn w:val="Normal"/>
    <w:link w:val="Piedepgina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85B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9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6</Pages>
  <Words>1112</Words>
  <Characters>6119</Characters>
  <Application>Microsoft Office Word</Application>
  <DocSecurity>0</DocSecurity>
  <Lines>50</Lines>
  <Paragraphs>14</Paragraphs>
  <ScaleCrop>false</ScaleCrop>
  <Company/>
  <LinksUpToDate>false</LinksUpToDate>
  <CharactersWithSpaces>7217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9</cp:revision>
  <dcterms:created xsi:type="dcterms:W3CDTF">2025-11-21T17:54:00Z</dcterms:created>
  <dcterms:modified xsi:type="dcterms:W3CDTF">2026-01-14T14:24:00Z</dcterms:modified>
</cp:coreProperties>
</file>