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vino, la cerveza, la sidra y las bebidas espirituosas están compuestos de </w:t>
      </w:r>
      <w:r>
        <w:rPr>
          <w:rFonts w:ascii="Cambria" w:hAnsi="Cambria"/>
          <w:b/>
          <w:bCs/>
        </w:rPr>
        <w:t xml:space="preserve">alcohol etílico</w:t>
      </w:r>
      <w:r>
        <w:rPr>
          <w:rFonts w:ascii="Cambria" w:hAnsi="Cambria"/>
        </w:rPr>
        <w:t xml:space="preserve">, obtenido de la fermentación de azúcares de frutas, melazas o granos.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Aguardiente</w:t>
      </w:r>
      <w:r>
        <w:rPr>
          <w:rFonts w:ascii="Cambria" w:hAnsi="Cambria"/>
        </w:rPr>
        <w:t xml:space="preserve">: alcohol etílico de origen agrícola obtenido por destilación, con graduación máxima de </w:t>
      </w:r>
      <w:r>
        <w:rPr>
          <w:rFonts w:ascii="Cambria" w:hAnsi="Cambria"/>
          <w:b/>
          <w:bCs/>
        </w:rPr>
        <w:t xml:space="preserve">80º vol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Plan de Internacionalización del Sector Agroalimentario</w:t>
      </w:r>
      <w:r>
        <w:rPr>
          <w:rFonts w:ascii="Cambria" w:hAnsi="Cambria"/>
        </w:rPr>
        <w:t xml:space="preserve">, a través del </w:t>
      </w:r>
      <w:r>
        <w:rPr>
          <w:rFonts w:ascii="Cambria" w:hAnsi="Cambria"/>
          <w:b/>
          <w:bCs/>
        </w:rPr>
        <w:t xml:space="preserve">GTISA</w:t>
      </w:r>
      <w:r>
        <w:rPr>
          <w:rFonts w:ascii="Cambria" w:hAnsi="Cambria"/>
        </w:rPr>
        <w:t xml:space="preserve"> (presidido por la Secretaría General de Agricultura y Alimentación del MAPA, con 7 Grupos de Trabajo, uno vitivinícola), persigue: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Eliminación de barreras comerciales y apertura de nuevos mercados.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Coordinación entre organismos estatales, autonómicos y sectoriales.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Mejora de la información, aumento de la dimensión empresarial y promoción exterior.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aborda la designación de cada producto, sus factores de calidad comercial, el análisis sectorial y la normativa aplicable: </w:t>
      </w:r>
      <w:r>
        <w:rPr>
          <w:rFonts w:ascii="Cambria" w:hAnsi="Cambria"/>
          <w:b/>
          <w:bCs/>
        </w:rPr>
        <w:t xml:space="preserve">OCM</w:t>
      </w:r>
      <w:r>
        <w:rPr>
          <w:rFonts w:ascii="Cambria" w:hAnsi="Cambria"/>
        </w:rPr>
        <w:t xml:space="preserve">, Normas de Comercialización UE, normas CODEX, producción controlada (UNE), producción ecológica e integrada, y legislación general alimentaria.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VINO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 de la fermentación alcohólica total o parcial de la uva fresca o su mosto por acción de las levaduras de la pruína.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de variedad: uvas blancas (albariño, chardonnay, macabeo, moscatel) y tintas (Cabernet Sauvignon, garnacha, merlot).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Composición: dulzor (fructosa, glucosa, glicerina), acidez (tartárico, málico, cítrico), sales minerales, aroma (ésteres, terpenos) y polifenoles (antocianos, taninos).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Clasificación según el proceso de elaboración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Vino tranquilo o de mesa</w:t>
      </w:r>
      <w:r>
        <w:rPr>
          <w:rFonts w:ascii="Cambria" w:hAnsi="Cambria"/>
        </w:rPr>
        <w:t xml:space="preserve">: grado alcohólico total no superior al </w:t>
      </w:r>
      <w:r>
        <w:rPr>
          <w:rFonts w:ascii="Cambria" w:hAnsi="Cambria"/>
          <w:b/>
          <w:bCs/>
        </w:rPr>
        <w:t xml:space="preserve">15%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Vino de licor</w:t>
      </w:r>
      <w:r>
        <w:rPr>
          <w:rFonts w:ascii="Cambria" w:hAnsi="Cambria"/>
        </w:rPr>
        <w:t xml:space="preserve">: encabezado con alcohol vínico o destilado, grado superior al </w:t>
      </w:r>
      <w:r>
        <w:rPr>
          <w:rFonts w:ascii="Cambria" w:hAnsi="Cambria"/>
          <w:b/>
          <w:bCs/>
        </w:rPr>
        <w:t xml:space="preserve">17,5%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Vino espumoso</w:t>
      </w:r>
      <w:r>
        <w:rPr>
          <w:rFonts w:ascii="Cambria" w:hAnsi="Cambria"/>
        </w:rPr>
        <w:t xml:space="preserve">: CO₂ procedente exclusivamente de la fermentación.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Vino de aguja</w:t>
      </w:r>
      <w:r>
        <w:rPr>
          <w:rFonts w:ascii="Cambria" w:hAnsi="Cambria"/>
        </w:rPr>
        <w:t xml:space="preserve">: desprendimiento ligero de CO₂ endógeno, menor que el espumoso.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Clasificación según calidad y protección geográfica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Vinos de la Tierra (VT/IGP)</w:t>
      </w:r>
      <w:r>
        <w:rPr>
          <w:rFonts w:ascii="Cambria" w:hAnsi="Cambria"/>
        </w:rPr>
        <w:t xml:space="preserve">: 42 denominaciones.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Vinos de Calidad</w:t>
      </w:r>
      <w:r>
        <w:rPr>
          <w:rFonts w:ascii="Cambria" w:hAnsi="Cambria"/>
        </w:rPr>
        <w:t xml:space="preserve">: 8, como VC Cangas o VC Cebreros.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DOP</w:t>
      </w:r>
      <w:r>
        <w:rPr>
          <w:rFonts w:ascii="Cambria" w:hAnsi="Cambria"/>
        </w:rPr>
        <w:t xml:space="preserve">: 68, como Ribeiro, Valdepeñas, Rueda o Ribera del Duero.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DOCa</w:t>
      </w:r>
      <w:r>
        <w:rPr>
          <w:rFonts w:ascii="Cambria" w:hAnsi="Cambria"/>
        </w:rPr>
        <w:t xml:space="preserve">: solo dos, </w:t>
      </w:r>
      <w:r>
        <w:rPr>
          <w:rFonts w:ascii="Cambria" w:hAnsi="Cambria"/>
          <w:b/>
          <w:bCs/>
        </w:rPr>
        <w:t xml:space="preserve">Rioja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Priorat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Vinos de Pagos</w:t>
      </w:r>
      <w:r>
        <w:rPr>
          <w:rFonts w:ascii="Cambria" w:hAnsi="Cambria"/>
        </w:rPr>
        <w:t xml:space="preserve">: 24, como VP de Irache.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Otros productos vinícolas regulados por el </w:t>
      </w:r>
      <w:r>
        <w:rPr>
          <w:rFonts w:ascii="Cambria" w:hAnsi="Cambria"/>
          <w:b/>
          <w:bCs/>
        </w:rPr>
        <w:t xml:space="preserve">Reglamento (UE) 251/2014</w:t>
      </w:r>
      <w:r>
        <w:rPr>
          <w:rFonts w:ascii="Cambria" w:hAnsi="Cambria"/>
        </w:rPr>
        <w:t xml:space="preserve">: vinos aromatizados (vermut), bebidas aromatizadas a base de vino (sangría) y cócteles aromatizados.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calidad comercial</w:t>
      </w:r>
      <w:r>
        <w:rPr>
          <w:rFonts w:ascii="Cambria" w:hAnsi="Cambria"/>
        </w:rPr>
        <w:t xml:space="preserve"> es el valor añadido resultante de selección, clasificación, verificación, envasado y transporte.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Factores: materia prima, proceso de elaboración, conservación y características organolépticas.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Controles: densidad a 20ºC, azúcares del mosto, grado alcohólico volumétrico, extracto seco total y azúcares reductores.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Alteraciones: enturbiamiento, quiebra férrica, quiebra proteica y quiebra cuprosa.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2.4.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</w:t>
      </w:r>
      <w:r>
        <w:rPr>
          <w:rFonts w:ascii="Cambria" w:hAnsi="Cambria"/>
          <w:b/>
          <w:bCs/>
        </w:rPr>
        <w:t xml:space="preserve">OIV</w:t>
      </w:r>
      <w:r>
        <w:rPr>
          <w:rFonts w:ascii="Cambria" w:hAnsi="Cambria"/>
        </w:rPr>
        <w:t xml:space="preserve"> (2025), la producción mundial de vino en 2024 fue la más baja en 60 años, con </w:t>
      </w:r>
      <w:r>
        <w:rPr>
          <w:rFonts w:ascii="Cambria" w:hAnsi="Cambria"/>
          <w:b/>
          <w:bCs/>
        </w:rPr>
        <w:t xml:space="preserve">7,1 millones de hectáreas</w:t>
      </w:r>
      <w:r>
        <w:rPr>
          <w:rFonts w:ascii="Cambria" w:hAnsi="Cambria"/>
        </w:rPr>
        <w:t xml:space="preserve"> de viñedo (-0,6%). Italia lideró con 41 Mhl y España fue tercer productor con </w:t>
      </w:r>
      <w:r>
        <w:rPr>
          <w:rFonts w:ascii="Cambria" w:hAnsi="Cambria"/>
          <w:b/>
          <w:bCs/>
        </w:rPr>
        <w:t xml:space="preserve">33,6 Mhl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2025 la producción española cayó a </w:t>
      </w:r>
      <w:r>
        <w:rPr>
          <w:rFonts w:ascii="Cambria" w:hAnsi="Cambria"/>
          <w:b/>
          <w:bCs/>
        </w:rPr>
        <w:t xml:space="preserve">28,7 Mhl</w:t>
      </w:r>
      <w:r>
        <w:rPr>
          <w:rFonts w:ascii="Cambria" w:hAnsi="Cambria"/>
        </w:rPr>
        <w:t xml:space="preserve"> (-7,7%) por sequía y calor. La OIV estima 232 Mhl mundiales para 2025, con la UE en torno a 140 Mhl.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productores: Italia, España, Francia, EEUU, Argentina, Australia, Chile, China, Alemania y Sudáfrica. La UE supera el </w:t>
      </w:r>
      <w:r>
        <w:rPr>
          <w:rFonts w:ascii="Cambria" w:hAnsi="Cambria"/>
          <w:b/>
          <w:bCs/>
        </w:rPr>
        <w:t xml:space="preserve">40%</w:t>
      </w:r>
      <w:r>
        <w:rPr>
          <w:rFonts w:ascii="Cambria" w:hAnsi="Cambria"/>
        </w:rPr>
        <w:t xml:space="preserve"> de producción amparada por 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tercer exportador en valor, pero más del </w:t>
      </w:r>
      <w:r>
        <w:rPr>
          <w:rFonts w:ascii="Cambria" w:hAnsi="Cambria"/>
          <w:b/>
          <w:bCs/>
        </w:rPr>
        <w:t xml:space="preserve">60%</w:t>
      </w:r>
      <w:r>
        <w:rPr>
          <w:rFonts w:ascii="Cambria" w:hAnsi="Cambria"/>
        </w:rPr>
        <w:t xml:space="preserve"> de sus exportaciones son a granel, sobre todo hacia Italia.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, en 2025 el sector presenta superávit, con exportaciones de vino próximas a </w:t>
      </w:r>
      <w:r>
        <w:rPr>
          <w:rFonts w:ascii="Cambria" w:hAnsi="Cambria"/>
          <w:b/>
          <w:bCs/>
        </w:rPr>
        <w:t xml:space="preserve">3.000 M€</w:t>
      </w:r>
      <w:r>
        <w:rPr>
          <w:rFonts w:ascii="Cambria" w:hAnsi="Cambria"/>
        </w:rPr>
        <w:t xml:space="preserve"> (-2%), un 4% de las exportaciones agroalimentarias. Destinos: Alemania, EEUU, Reino Unido, Francia, Países Bajos, Suiza y Canadá. Exportaciones de mosto: 400 M€, hacia Italia, China, Francia, Alemania y Arabia Saudí, favorecidas por </w:t>
      </w:r>
      <w:r>
        <w:rPr>
          <w:rFonts w:ascii="Cambria" w:hAnsi="Cambria"/>
          <w:b/>
          <w:bCs/>
        </w:rPr>
        <w:t xml:space="preserve">CETA (2017)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Acuerdo UE-Japón (2019)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desde Francia, Italia, Portugal, Chile y Alemania.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aranceles de EEUU redujeron las importaciones de vino español un </w:t>
      </w:r>
      <w:r>
        <w:rPr>
          <w:rFonts w:ascii="Cambria" w:hAnsi="Cambria"/>
          <w:b/>
          <w:bCs/>
        </w:rPr>
        <w:t xml:space="preserve">16,5%</w:t>
      </w:r>
      <w:r>
        <w:rPr>
          <w:rFonts w:ascii="Cambria" w:hAnsi="Cambria"/>
        </w:rPr>
        <w:t xml:space="preserve"> en valor en 2025, poniendo en riesgo </w:t>
      </w:r>
      <w:r>
        <w:rPr>
          <w:rFonts w:ascii="Cambria" w:hAnsi="Cambria"/>
          <w:b/>
          <w:bCs/>
        </w:rPr>
        <w:t xml:space="preserve">400 M€</w:t>
      </w:r>
      <w:r>
        <w:rPr>
          <w:rFonts w:ascii="Cambria" w:hAnsi="Cambria"/>
        </w:rPr>
        <w:t xml:space="preserve">, con especial impacto en Rioja, Ribera del Duero, Rías Baixas y el cava. El comercio mundial cayó a 94,8 Mhl (-4,7%) y 33.800 M€ (-6,7%). El </w:t>
      </w:r>
      <w:r>
        <w:rPr>
          <w:rFonts w:ascii="Cambria" w:hAnsi="Cambria"/>
          <w:b/>
          <w:bCs/>
        </w:rPr>
        <w:t xml:space="preserve">acuerdo UE-EEUU de mayo de 2026</w:t>
      </w:r>
      <w:r>
        <w:rPr>
          <w:rFonts w:ascii="Cambria" w:hAnsi="Cambria"/>
        </w:rPr>
        <w:t xml:space="preserve"> ha paliado parcialmente la situación, pendiente de segunda fase.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ICEX</w:t>
      </w:r>
      <w:r>
        <w:rPr>
          <w:rFonts w:ascii="Cambria" w:hAnsi="Cambria"/>
        </w:rPr>
        <w:t xml:space="preserve"> desarrolla la marca </w:t>
      </w:r>
      <w:r>
        <w:rPr>
          <w:rFonts w:ascii="Cambria" w:hAnsi="Cambria"/>
          <w:b/>
          <w:bCs/>
        </w:rPr>
        <w:t xml:space="preserve">Food and Wines from Spain</w:t>
      </w:r>
      <w:r>
        <w:rPr>
          <w:rFonts w:ascii="Cambria" w:hAnsi="Cambria"/>
        </w:rPr>
        <w:t xml:space="preserve">. El </w:t>
      </w:r>
      <w:r>
        <w:rPr>
          <w:rFonts w:ascii="Cambria" w:hAnsi="Cambria"/>
          <w:b/>
          <w:bCs/>
        </w:rPr>
        <w:t xml:space="preserve">Acuerdo UE-MERCOSUR</w:t>
      </w:r>
      <w:r>
        <w:rPr>
          <w:rFonts w:ascii="Cambria" w:hAnsi="Cambria"/>
        </w:rPr>
        <w:t xml:space="preserve"> beneficiará al vino español liberándolo de aranceles en Brasil y Argentina.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2.5.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PAC 2023-2027</w:t>
      </w:r>
      <w:r>
        <w:rPr>
          <w:rFonts w:ascii="Cambria" w:hAnsi="Cambria"/>
        </w:rPr>
        <w:t xml:space="preserve"> se articula en los </w:t>
      </w:r>
      <w:r>
        <w:rPr>
          <w:rFonts w:ascii="Cambria" w:hAnsi="Cambria"/>
          <w:b/>
          <w:bCs/>
        </w:rPr>
        <w:t xml:space="preserve">Reglamentos (UE) 2021/2115, 2021/2116 y 2021/2117</w:t>
      </w:r>
      <w:r>
        <w:rPr>
          <w:rFonts w:ascii="Cambria" w:hAnsi="Cambria"/>
        </w:rPr>
        <w:t xml:space="preserve">, este último modifica la </w:t>
      </w:r>
      <w:r>
        <w:rPr>
          <w:rFonts w:ascii="Cambria" w:hAnsi="Cambria"/>
          <w:b/>
          <w:bCs/>
        </w:rPr>
        <w:t xml:space="preserve">OCM Única (Reglamento (UE) 1308/2013)</w:t>
      </w:r>
      <w:r>
        <w:rPr>
          <w:rFonts w:ascii="Cambria" w:hAnsi="Cambria"/>
        </w:rPr>
        <w:t xml:space="preserve"> e introduce el etiquetado nutricional desde el </w:t>
      </w:r>
      <w:r>
        <w:rPr>
          <w:rFonts w:ascii="Cambria" w:hAnsi="Cambria"/>
          <w:b/>
          <w:bCs/>
        </w:rPr>
        <w:t xml:space="preserve">8 de diciembre de 2023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Medidas excepcionales COVID: </w:t>
      </w:r>
      <w:r>
        <w:rPr>
          <w:rFonts w:ascii="Cambria" w:hAnsi="Cambria"/>
          <w:b/>
          <w:bCs/>
        </w:rPr>
        <w:t xml:space="preserve">Reglamentos (UE) 2020/592 y 2020/601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OCM se basa en la unidad de mercado, la solidaridad financiera y la preferencia comunitaria, y establece clasificación de productos, organizaciones de productores e interprofesionales (</w:t>
      </w:r>
      <w:r>
        <w:rPr>
          <w:rFonts w:ascii="Cambria" w:hAnsi="Cambria"/>
          <w:b/>
          <w:bCs/>
        </w:rPr>
        <w:t xml:space="preserve">FEBE, FEV, FIAB, OIVE</w:t>
      </w:r>
      <w:r>
        <w:rPr>
          <w:rFonts w:ascii="Cambria" w:hAnsi="Cambria"/>
        </w:rPr>
        <w:t xml:space="preserve">), régimen de intervención (coordinado por </w:t>
      </w:r>
      <w:r>
        <w:rPr>
          <w:rFonts w:ascii="Cambria" w:hAnsi="Cambria"/>
          <w:b/>
          <w:bCs/>
        </w:rPr>
        <w:t xml:space="preserve">FEGA/FEAGA</w:t>
      </w:r>
      <w:r>
        <w:rPr>
          <w:rFonts w:ascii="Cambria" w:hAnsi="Cambria"/>
        </w:rPr>
        <w:t xml:space="preserve"> dentro del </w:t>
      </w:r>
      <w:r>
        <w:rPr>
          <w:rFonts w:ascii="Cambria" w:hAnsi="Cambria"/>
          <w:b/>
          <w:bCs/>
        </w:rPr>
        <w:t xml:space="preserve">PEPAC</w:t>
      </w:r>
      <w:r>
        <w:rPr>
          <w:rFonts w:ascii="Cambria" w:hAnsi="Cambria"/>
        </w:rPr>
        <w:t xml:space="preserve">) y medidas de intercambio con terceros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régimen de autorizaciones de plantación se prorrogó hasta </w:t>
      </w:r>
      <w:r>
        <w:rPr>
          <w:rFonts w:ascii="Cambria" w:hAnsi="Cambria"/>
          <w:b/>
          <w:bCs/>
        </w:rPr>
        <w:t xml:space="preserve">2045</w:t>
      </w:r>
      <w:r>
        <w:rPr>
          <w:rFonts w:ascii="Cambria" w:hAnsi="Cambria"/>
        </w:rPr>
        <w:t xml:space="preserve">, limitando el incremento anual al </w:t>
      </w:r>
      <w:r>
        <w:rPr>
          <w:rFonts w:ascii="Cambria" w:hAnsi="Cambria"/>
          <w:b/>
          <w:bCs/>
        </w:rPr>
        <w:t xml:space="preserve">1%</w:t>
      </w:r>
      <w:r>
        <w:rPr>
          <w:rFonts w:ascii="Cambria" w:hAnsi="Cambria"/>
        </w:rPr>
        <w:t xml:space="preserve">, mientras España concede en torno al </w:t>
      </w:r>
      <w:r>
        <w:rPr>
          <w:rFonts w:ascii="Cambria" w:hAnsi="Cambria"/>
          <w:b/>
          <w:bCs/>
        </w:rPr>
        <w:t xml:space="preserve">0,5%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Legislación nacional: </w:t>
      </w:r>
      <w:r>
        <w:rPr>
          <w:rFonts w:ascii="Cambria" w:hAnsi="Cambria"/>
          <w:b/>
          <w:bCs/>
        </w:rPr>
        <w:t xml:space="preserve">Ley 24/2003 de la Viña y del Vino</w:t>
      </w:r>
      <w:r>
        <w:rPr>
          <w:rFonts w:ascii="Cambria" w:hAnsi="Cambria"/>
        </w:rPr>
        <w:t xml:space="preserve">, modificada por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 de DOP e IGP. A nivel comunitario,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 unifica las Denominaciones de Origen, con el </w:t>
      </w:r>
      <w:r>
        <w:rPr>
          <w:rFonts w:ascii="Cambria" w:hAnsi="Cambria"/>
          <w:b/>
          <w:bCs/>
        </w:rPr>
        <w:t xml:space="preserve">Real Decreto 189/2026</w:t>
      </w:r>
      <w:r>
        <w:rPr>
          <w:rFonts w:ascii="Cambria" w:hAnsi="Cambria"/>
        </w:rPr>
        <w:t xml:space="preserve"> para su gestión estatal.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Requisitos de DOCa: mención tradicional durante al menos </w:t>
      </w:r>
      <w:r>
        <w:rPr>
          <w:rFonts w:ascii="Cambria" w:hAnsi="Cambria"/>
          <w:b/>
          <w:bCs/>
        </w:rPr>
        <w:t xml:space="preserve">10 años</w:t>
      </w:r>
      <w:r>
        <w:rPr>
          <w:rFonts w:ascii="Cambria" w:hAnsi="Cambria"/>
        </w:rPr>
        <w:t xml:space="preserve">, embotellado en origen, control sistemático por lotes, separación de bodegas y delimitación cartográfica municipal.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Etiquetado: </w:t>
      </w:r>
      <w:r>
        <w:rPr>
          <w:rFonts w:ascii="Cambria" w:hAnsi="Cambria"/>
          <w:b/>
          <w:bCs/>
        </w:rPr>
        <w:t xml:space="preserve">Reglamento Delegado (UE) 2019/33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Real Decreto 1363/2011</w:t>
      </w:r>
      <w:r>
        <w:rPr>
          <w:rFonts w:ascii="Cambria" w:hAnsi="Cambria"/>
        </w:rPr>
        <w:t xml:space="preserve">, con información nutricional obligatoria desde el 8 de diciembre de 2023 mediante código QR. Menciones obligatorias: denominación de venta, volumen, grado alcohólico, procedencia, embotellador o importador, azúcares (en espumosos) y alérgenos.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Otros textos: </w:t>
      </w:r>
      <w:r>
        <w:rPr>
          <w:rFonts w:ascii="Cambria" w:hAnsi="Cambria"/>
          <w:b/>
          <w:bCs/>
        </w:rPr>
        <w:t xml:space="preserve">Reglamento (CE) 555/2008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Reglamento Delegado (UE) 2018/273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Reglamento Delegado (UE) 2019/934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Reglamento (UE) 251/2014</w:t>
      </w:r>
      <w:r>
        <w:rPr>
          <w:rFonts w:ascii="Cambria" w:hAnsi="Cambria"/>
        </w:rPr>
        <w:t xml:space="preserve"> y su </w:t>
      </w:r>
      <w:r>
        <w:rPr>
          <w:rFonts w:ascii="Cambria" w:hAnsi="Cambria"/>
          <w:b/>
          <w:bCs/>
        </w:rPr>
        <w:t xml:space="preserve">Reglamento Delegado (UE) 2017/670</w:t>
      </w:r>
      <w:r>
        <w:rPr>
          <w:rFonts w:ascii="Cambria" w:hAnsi="Cambria"/>
        </w:rPr>
        <w:t xml:space="preserve">, y el </w:t>
      </w:r>
      <w:r>
        <w:rPr>
          <w:rFonts w:ascii="Cambria" w:hAnsi="Cambria"/>
          <w:b/>
          <w:bCs/>
        </w:rPr>
        <w:t xml:space="preserve">Real Decreto 90/2023</w:t>
      </w:r>
      <w:r>
        <w:rPr>
          <w:rFonts w:ascii="Cambria" w:hAnsi="Cambria"/>
        </w:rPr>
        <w:t xml:space="preserve"> de Intervención Sectorial Vitivinícola.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CERVEZA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Bebida de la fermentación alcohólica de mosto de malta de cebada u otros cereales, con lúpulo y cocción.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Tipos: cerveza de cereal, sin alcohol (menos del </w:t>
      </w:r>
      <w:r>
        <w:rPr>
          <w:rFonts w:ascii="Cambria" w:hAnsi="Cambria"/>
          <w:b/>
          <w:bCs/>
        </w:rPr>
        <w:t xml:space="preserve">1%</w:t>
      </w:r>
      <w:r>
        <w:rPr>
          <w:rFonts w:ascii="Cambria" w:hAnsi="Cambria"/>
        </w:rPr>
        <w:t xml:space="preserve">), negra, extra (extracto seco no inferior al </w:t>
      </w:r>
      <w:r>
        <w:rPr>
          <w:rFonts w:ascii="Cambria" w:hAnsi="Cambria"/>
          <w:b/>
          <w:bCs/>
        </w:rPr>
        <w:t xml:space="preserve">15%</w:t>
      </w:r>
      <w:r>
        <w:rPr>
          <w:rFonts w:ascii="Cambria" w:hAnsi="Cambria"/>
        </w:rPr>
        <w:t xml:space="preserve">) y especial (no inferior al </w:t>
      </w:r>
      <w:r>
        <w:rPr>
          <w:rFonts w:ascii="Cambria" w:hAnsi="Cambria"/>
          <w:b/>
          <w:bCs/>
        </w:rPr>
        <w:t xml:space="preserve">13%</w:t>
      </w:r>
      <w:r>
        <w:rPr>
          <w:rFonts w:ascii="Cambria" w:hAnsi="Cambria"/>
        </w:rPr>
        <w:t xml:space="preserve">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Factores de calidad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Aroma, sabor, contenido en alcohol y color de la espuma, además del valor nutritivo (extracto real y extracto seco primitivo).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Mayores productores mundiales: China, EEUU y Brasil. En la UE, según </w:t>
      </w:r>
      <w:r>
        <w:rPr>
          <w:rFonts w:ascii="Cambria" w:hAnsi="Cambria"/>
          <w:b/>
          <w:bCs/>
        </w:rPr>
        <w:t xml:space="preserve">Eurostat 2024</w:t>
      </w:r>
      <w:r>
        <w:rPr>
          <w:rFonts w:ascii="Cambria" w:hAnsi="Cambria"/>
        </w:rPr>
        <w:t xml:space="preserve">, la producción alcanzó </w:t>
      </w:r>
      <w:r>
        <w:rPr>
          <w:rFonts w:ascii="Cambria" w:hAnsi="Cambria"/>
          <w:b/>
          <w:bCs/>
        </w:rPr>
        <w:t xml:space="preserve">347 millones de hl</w:t>
      </w:r>
      <w:r>
        <w:rPr>
          <w:rFonts w:ascii="Cambria" w:hAnsi="Cambria"/>
        </w:rPr>
        <w:t xml:space="preserve">, liderada por Alemania (22,2%), España (12,3%) y Polonia (10,6%).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produjo </w:t>
      </w:r>
      <w:r>
        <w:rPr>
          <w:rFonts w:ascii="Cambria" w:hAnsi="Cambria"/>
          <w:b/>
          <w:bCs/>
        </w:rPr>
        <w:t xml:space="preserve">41,5 millones de hl</w:t>
      </w:r>
      <w:r>
        <w:rPr>
          <w:rFonts w:ascii="Cambria" w:hAnsi="Cambria"/>
        </w:rPr>
        <w:t xml:space="preserve"> en 2025 (+0,5%), segundo productor de la UE. Según el </w:t>
      </w:r>
      <w:r>
        <w:rPr>
          <w:rFonts w:ascii="Cambria" w:hAnsi="Cambria"/>
          <w:b/>
          <w:bCs/>
        </w:rPr>
        <w:t xml:space="preserve">Informe Socioeconómico de Cerveceros de España 2024</w:t>
      </w:r>
      <w:r>
        <w:rPr>
          <w:rFonts w:ascii="Cambria" w:hAnsi="Cambria"/>
        </w:rPr>
        <w:t xml:space="preserve">, el sector genera más de </w:t>
      </w:r>
      <w:r>
        <w:rPr>
          <w:rFonts w:ascii="Cambria" w:hAnsi="Cambria"/>
          <w:b/>
          <w:bCs/>
        </w:rPr>
        <w:t xml:space="preserve">540.000 empleos</w:t>
      </w:r>
      <w:r>
        <w:rPr>
          <w:rFonts w:ascii="Cambria" w:hAnsi="Cambria"/>
        </w:rPr>
        <w:t xml:space="preserve">, aporta </w:t>
      </w:r>
      <w:r>
        <w:rPr>
          <w:rFonts w:ascii="Cambria" w:hAnsi="Cambria"/>
          <w:b/>
          <w:bCs/>
        </w:rPr>
        <w:t xml:space="preserve">17.200 M€</w:t>
      </w:r>
      <w:r>
        <w:rPr>
          <w:rFonts w:ascii="Cambria" w:hAnsi="Cambria"/>
        </w:rPr>
        <w:t xml:space="preserve"> al PIB (1,3%) y más de </w:t>
      </w:r>
      <w:r>
        <w:rPr>
          <w:rFonts w:ascii="Cambria" w:hAnsi="Cambria"/>
          <w:b/>
          <w:bCs/>
        </w:rPr>
        <w:t xml:space="preserve">6.500 M€</w:t>
      </w:r>
      <w:r>
        <w:rPr>
          <w:rFonts w:ascii="Cambria" w:hAnsi="Cambria"/>
        </w:rPr>
        <w:t xml:space="preserve"> en impuestos.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Déficit comercial, 5º exportador de la UE tras Países Bajos, Alemania, Bélgica y República Checa. Exportaciones 2025: </w:t>
      </w:r>
      <w:r>
        <w:rPr>
          <w:rFonts w:ascii="Cambria" w:hAnsi="Cambria"/>
          <w:b/>
          <w:bCs/>
        </w:rPr>
        <w:t xml:space="preserve">328 M€</w:t>
      </w:r>
      <w:r>
        <w:rPr>
          <w:rFonts w:ascii="Cambria" w:hAnsi="Cambria"/>
        </w:rPr>
        <w:t xml:space="preserve"> (+8%), destinos China, Cuba, Reino Unido, Andorra y Guinea Ecuatorial.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desde Bélgica, Portugal, México y Francia. Crece la cerveza sin alcohol (+5,3% en facturación en 2025).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lúpulo se regula por la OCM (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), desarrollado por el </w:t>
      </w:r>
      <w:r>
        <w:rPr>
          <w:rFonts w:ascii="Cambria" w:hAnsi="Cambria"/>
          <w:b/>
          <w:bCs/>
        </w:rPr>
        <w:t xml:space="preserve">Reglamento de Ejecución (UE) 2024/601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Delegado (UE) 2024/602</w:t>
      </w:r>
      <w:r>
        <w:rPr>
          <w:rFonts w:ascii="Cambria" w:hAnsi="Cambria"/>
        </w:rPr>
        <w:t xml:space="preserve">. A nivel nacional, </w:t>
      </w:r>
      <w:r>
        <w:rPr>
          <w:rFonts w:ascii="Cambria" w:hAnsi="Cambria"/>
          <w:b/>
          <w:bCs/>
        </w:rPr>
        <w:t xml:space="preserve">Real Decreto 284/2019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Real Decreto 1058/2024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de calidad: </w:t>
      </w:r>
      <w:r>
        <w:rPr>
          <w:rFonts w:ascii="Cambria" w:hAnsi="Cambria"/>
          <w:b/>
          <w:bCs/>
        </w:rPr>
        <w:t xml:space="preserve">Real Decreto 678/2016</w:t>
      </w:r>
      <w:r>
        <w:rPr>
          <w:rFonts w:ascii="Cambria" w:hAnsi="Cambria"/>
        </w:rPr>
        <w:t xml:space="preserve">, que permite la adición de agua potable para ajustar grado alcohólico y extracto seco.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142/2026</w:t>
      </w:r>
      <w:r>
        <w:rPr>
          <w:rFonts w:ascii="Cambria" w:hAnsi="Cambria"/>
        </w:rPr>
        <w:t xml:space="preserve"> introduce ajustes transversales en prácticas analíticas y definiciones, afectando también a cerveza y sidra.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SIDRA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Bebida de la fermentación alcohólica de la manzana o su mosto, graduación superior a </w:t>
      </w:r>
      <w:r>
        <w:rPr>
          <w:rFonts w:ascii="Cambria" w:hAnsi="Cambria"/>
          <w:b/>
          <w:bCs/>
        </w:rPr>
        <w:t xml:space="preserve">4º</w:t>
      </w:r>
      <w:r>
        <w:rPr>
          <w:rFonts w:ascii="Cambria" w:hAnsi="Cambria"/>
        </w:rPr>
        <w:t xml:space="preserve">, clasificada en seca, semiseca y dulce.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Sidra natural</w:t>
      </w:r>
      <w:r>
        <w:rPr>
          <w:rFonts w:ascii="Cambria" w:hAnsi="Cambria"/>
        </w:rPr>
        <w:t xml:space="preserve">: sin adición de azúcares, solo gas carbónico endógeno, graduación superior a </w:t>
      </w:r>
      <w:r>
        <w:rPr>
          <w:rFonts w:ascii="Cambria" w:hAnsi="Cambria"/>
          <w:b/>
          <w:bCs/>
        </w:rPr>
        <w:t xml:space="preserve">4,5º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dentro de la OCM Única por el </w:t>
      </w:r>
      <w:r>
        <w:rPr>
          <w:rFonts w:ascii="Cambria" w:hAnsi="Cambria"/>
          <w:b/>
          <w:bCs/>
        </w:rPr>
        <w:t xml:space="preserve">Real Decreto 72/2017</w:t>
      </w:r>
      <w:r>
        <w:rPr>
          <w:rFonts w:ascii="Cambria" w:hAnsi="Cambria"/>
        </w:rPr>
        <w:t xml:space="preserve">. Cuenta con la </w:t>
      </w:r>
      <w:r>
        <w:rPr>
          <w:rFonts w:ascii="Cambria" w:hAnsi="Cambria"/>
          <w:b/>
          <w:bCs/>
        </w:rPr>
        <w:t xml:space="preserve">DOP Sidra de Asturias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está entre los 5 productores de la UE y es 7º exportador, con superávit de </w:t>
      </w:r>
      <w:r>
        <w:rPr>
          <w:rFonts w:ascii="Cambria" w:hAnsi="Cambria"/>
          <w:b/>
          <w:bCs/>
        </w:rPr>
        <w:t xml:space="preserve">7,1 M€</w:t>
      </w:r>
      <w:r>
        <w:rPr>
          <w:rFonts w:ascii="Cambria" w:hAnsi="Cambria"/>
        </w:rPr>
        <w:t xml:space="preserve">. Exporta a EEUU, Portugal y Reino Unido, e importa de Suecia, Alemania e Irlanda.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BEBIDAS ESPIRITUOSAS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Bebidas con grado alcohólico mínimo del </w:t>
      </w:r>
      <w:r>
        <w:rPr>
          <w:rFonts w:ascii="Cambria" w:hAnsi="Cambria"/>
          <w:b/>
          <w:bCs/>
        </w:rPr>
        <w:t xml:space="preserve">15%</w:t>
      </w:r>
      <w:r>
        <w:rPr>
          <w:rFonts w:ascii="Cambria" w:hAnsi="Cambria"/>
        </w:rPr>
        <w:t xml:space="preserve">, obtenidas por destilación, maceración o mezcla.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Categorías: ron, whisky, ginebra y vodka.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de calidad: caracteres organolépticos, graduación alcohólica y ausencia de defectos.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comunitaria liderada por Francia, Italia, Países Bajos y Alemania. La UE es primer exportador mundial (</w:t>
      </w:r>
      <w:r>
        <w:rPr>
          <w:rFonts w:ascii="Cambria" w:hAnsi="Cambria"/>
          <w:b/>
          <w:bCs/>
        </w:rPr>
        <w:t xml:space="preserve">40%</w:t>
      </w:r>
      <w:r>
        <w:rPr>
          <w:rFonts w:ascii="Cambria" w:hAnsi="Cambria"/>
        </w:rPr>
        <w:t xml:space="preserve"> de la producción exportada), sobre todo a Norteamérica.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España, 6º exportador y 4º importador de la UE, con déficit comercial. Productores principales: </w:t>
      </w:r>
      <w:r>
        <w:rPr>
          <w:rFonts w:ascii="Cambria" w:hAnsi="Cambria"/>
          <w:b/>
          <w:bCs/>
        </w:rPr>
        <w:t xml:space="preserve">DIAGEO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PERNOD RICARD</w:t>
      </w:r>
      <w:r>
        <w:rPr>
          <w:rFonts w:ascii="Cambria" w:hAnsi="Cambria"/>
        </w:rPr>
        <w:t xml:space="preserve">. Exporta aguardiente de orujo, vino de jerez y coñac a Filipinas, Alemania, Italia y Reino Unido, e importa whisky y ron de Reino Unido, República Dominicana y Cuba.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marzo de 2025, la Administración Trump amenazó con un arancel del </w:t>
      </w:r>
      <w:r>
        <w:rPr>
          <w:rFonts w:ascii="Cambria" w:hAnsi="Cambria"/>
          <w:b/>
          <w:bCs/>
        </w:rPr>
        <w:t xml:space="preserve">200%</w:t>
      </w:r>
      <w:r>
        <w:rPr>
          <w:rFonts w:ascii="Cambria" w:hAnsi="Cambria"/>
        </w:rPr>
        <w:t xml:space="preserve"> a vinos y bebidas alcohólicas de la UE. El </w:t>
      </w:r>
      <w:r>
        <w:rPr>
          <w:rFonts w:ascii="Cambria" w:hAnsi="Cambria"/>
          <w:b/>
          <w:bCs/>
        </w:rPr>
        <w:t xml:space="preserve">acuerdo UE-EEUU de mayo de 2026</w:t>
      </w:r>
      <w:r>
        <w:rPr>
          <w:rFonts w:ascii="Cambria" w:hAnsi="Cambria"/>
        </w:rPr>
        <w:t xml:space="preserve"> fijó un arancel general del </w:t>
      </w:r>
      <w:r>
        <w:rPr>
          <w:rFonts w:ascii="Cambria" w:hAnsi="Cambria"/>
          <w:b/>
          <w:bCs/>
        </w:rPr>
        <w:t xml:space="preserve">15%</w:t>
      </w:r>
      <w:r>
        <w:rPr>
          <w:rFonts w:ascii="Cambria" w:hAnsi="Cambria"/>
        </w:rPr>
        <w:t xml:space="preserve">, pendiente de segunda fase negociadora. Taiwán levantó restricciones a la importación vigentes desde 2016.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2019/787</w:t>
      </w:r>
      <w:r>
        <w:rPr>
          <w:rFonts w:ascii="Cambria" w:hAnsi="Cambria"/>
        </w:rPr>
        <w:t xml:space="preserve">, sobre definición, designación, presentación y etiquetado de bebidas espirituosas y protección de indicaciones geográficas.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6.1. Normativa voluntaria y calidad diferenciada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: desarrollada por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 mediante 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: regulada por el </w:t>
      </w:r>
      <w:r>
        <w:rPr>
          <w:rFonts w:ascii="Cambria" w:hAnsi="Cambria"/>
          <w:b/>
          <w:bCs/>
        </w:rPr>
        <w:t xml:space="preserve">Reglamento (UE) 2018/848</w:t>
      </w:r>
      <w:r>
        <w:rPr>
          <w:rFonts w:ascii="Cambria" w:hAnsi="Cambria"/>
        </w:rPr>
        <w:t xml:space="preserve">, con obligación desde 2023 de que terceros países cumplan estándares comunitarios. Modificaciones por el </w:t>
      </w:r>
      <w:r>
        <w:rPr>
          <w:rFonts w:ascii="Cambria" w:hAnsi="Cambria"/>
          <w:b/>
          <w:bCs/>
        </w:rPr>
        <w:t xml:space="preserve">Reglamento de Ejecución (UE) 2016/1842</w:t>
      </w:r>
      <w:r>
        <w:rPr>
          <w:rFonts w:ascii="Cambria" w:hAnsi="Cambria"/>
        </w:rPr>
        <w:t xml:space="preserve">, afectando a controles del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, que según la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 controla productos agrarios vivos o transformados, piensos, materiales de reproducción vegetativa y levaduras.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, con logotipo según la </w:t>
      </w:r>
      <w:r>
        <w:rPr>
          <w:rFonts w:ascii="Cambria" w:hAnsi="Cambria"/>
          <w:b/>
          <w:bCs/>
        </w:rPr>
        <w:t xml:space="preserve">Orden APA/1/2004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DOP, IGP y ETG: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, ejecutado por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que atribuye a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el control de comercialización.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no controla la calidad comercial de productos vitivinícolas, según la </w:t>
      </w: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modificada por las </w:t>
      </w:r>
      <w:r>
        <w:rPr>
          <w:rFonts w:ascii="Cambria" w:hAnsi="Cambria"/>
          <w:b/>
          <w:bCs/>
        </w:rPr>
        <w:t xml:space="preserve">Órdenes ECC/2257/2013 y ECC/2566/2015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6.2.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: designa a la Secretaría de Estado de Comercio como autoridad de control de normas de comercialización.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: límites máximos de residuos de plaguicidas.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: límites de contaminantes en alimentos.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: información al consumidor y etiquetado nutricional.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: envases y residuos de envases.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Paquete de higiene: </w:t>
      </w:r>
      <w:r>
        <w:rPr>
          <w:rFonts w:ascii="Cambria" w:hAnsi="Cambria"/>
          <w:b/>
          <w:bCs/>
        </w:rPr>
        <w:t xml:space="preserve">Reglamentos (CE) 852 y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: defensa de la calidad alimentaria, con régimen sancionador.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: prevención de pérdidas y desperdicio alimentario.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de vinos y bebidas alcohólicas es uno de los más dinámicos del tejido agroalimentario español, con España como tercer productor mundial de vino y segundo de la UE en cerveza.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principal riesgo es la incertidumbre arancelaria con EEUU: la caída del </w:t>
      </w:r>
      <w:r>
        <w:rPr>
          <w:rFonts w:ascii="Cambria" w:hAnsi="Cambria"/>
          <w:b/>
          <w:bCs/>
        </w:rPr>
        <w:t xml:space="preserve">16,5%</w:t>
      </w:r>
      <w:r>
        <w:rPr>
          <w:rFonts w:ascii="Cambria" w:hAnsi="Cambria"/>
        </w:rPr>
        <w:t xml:space="preserve"> en valor de las exportaciones de vino en 2025 y el arancel general del </w:t>
      </w:r>
      <w:r>
        <w:rPr>
          <w:rFonts w:ascii="Cambria" w:hAnsi="Cambria"/>
          <w:b/>
          <w:bCs/>
        </w:rPr>
        <w:t xml:space="preserve">15%</w:t>
      </w:r>
      <w:r>
        <w:rPr>
          <w:rFonts w:ascii="Cambria" w:hAnsi="Cambria"/>
        </w:rPr>
        <w:t xml:space="preserve"> del acuerdo de mayo de 2026 amenazan denominaciones como Rioja, Ribera del Duero, Rías Baixas y el cava.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UE-MERCOSUR</w:t>
      </w:r>
      <w:r>
        <w:rPr>
          <w:rFonts w:ascii="Cambria" w:hAnsi="Cambria"/>
        </w:rPr>
        <w:t xml:space="preserve"> añade presión competitiva desde Argentina, Uruguay y Chile, aunque también abre oportunidades de acceso a esos mercados.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Retos estructurales: la dependencia de la exportación a granel (más del </w:t>
      </w:r>
      <w:r>
        <w:rPr>
          <w:rFonts w:ascii="Cambria" w:hAnsi="Cambria"/>
          <w:b/>
          <w:bCs/>
        </w:rPr>
        <w:t xml:space="preserve">60%</w:t>
      </w:r>
      <w:r>
        <w:rPr>
          <w:rFonts w:ascii="Cambria" w:hAnsi="Cambria"/>
        </w:rPr>
        <w:t xml:space="preserve">) y la tendencia descendente del consumo mundial, con nueve de los diez principales mercados en caída en 2025.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estrategia pasa por avanzar en envasado en origen, diversificación de mercados, adaptación al cambio climático y exigencia de estándares equivalentes a los productos importados.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11 – Sector de vinos y demás bebidas alcohólicas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