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aceites y grasas comestibles son compuestos de origen vegetal y animal, mezclas complejas de ésteres de ácidos grasos con glicerina.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aceite es líquido a temperatura ambiente por su mayor contenido en ácidos grasos insaturados, la grasa es sólida por su mayor contenido en saturados.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80%</w:t>
      </w:r>
      <w:r>
        <w:rPr>
          <w:rFonts w:ascii="Cambria" w:hAnsi="Cambria"/>
        </w:rPr>
        <w:t xml:space="preserve"> se destina a alimentación humana, con usos también industriales y en alimentación animal.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el principal país productor, consumidor y exportador de aceite de oliva.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GTISA</w:t>
      </w:r>
      <w:r>
        <w:rPr>
          <w:rFonts w:ascii="Cambria" w:hAnsi="Cambria"/>
        </w:rPr>
        <w:t xml:space="preserve"> (Grupo de Trabajo para la Internacionalización del Sector Agroalimentario), dentro del MAPA, cuenta con un grupo específico de Aceites y Aceituna, con objetivos como eliminar barreras comerciales, consolidar mercados, coordinar organismos y promocionar los productos españoles.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general: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Aceites vegetales comestibles (frutos o semillas oleaginosas) y no comestibles (industriales)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Aceites animales (pescados)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Grasas vegetales (coco, palmiste, palma) y animales (cerdo, sebos)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ACEITE DE OLIVA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obtiene de la aceituna del olivo (*Olea europaea*), zumo natural sin aditivos. Variedades principales: hojiblanca, cornicabra, picual y arbequina.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 clasifica los tipos según método de obtención y acidez libre: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Virgen extra: acidez máxima </w:t>
      </w:r>
      <w:r>
        <w:rPr>
          <w:rFonts w:ascii="Cambria" w:hAnsi="Cambria"/>
          <w:b/>
          <w:bCs/>
        </w:rPr>
        <w:t xml:space="preserve">0,8%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Virgen: acidez máxima </w:t>
      </w:r>
      <w:r>
        <w:rPr>
          <w:rFonts w:ascii="Cambria" w:hAnsi="Cambria"/>
          <w:b/>
          <w:bCs/>
        </w:rPr>
        <w:t xml:space="preserve">2%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Lampante: acidez superior al </w:t>
      </w:r>
      <w:r>
        <w:rPr>
          <w:rFonts w:ascii="Cambria" w:hAnsi="Cambria"/>
          <w:b/>
          <w:bCs/>
        </w:rPr>
        <w:t xml:space="preserve">2%</w:t>
      </w:r>
      <w:r>
        <w:rPr>
          <w:rFonts w:ascii="Cambria" w:hAnsi="Cambria"/>
        </w:rPr>
        <w:t xml:space="preserve">, no apto para consumo directo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Refinado: obtenido del refino de vírgenes, acidez inferior al </w:t>
      </w:r>
      <w:r>
        <w:rPr>
          <w:rFonts w:ascii="Cambria" w:hAnsi="Cambria"/>
          <w:b/>
          <w:bCs/>
        </w:rPr>
        <w:t xml:space="preserve">0,3%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Aceite de oliva: mezcla de refinado y virgen, acidez inferior al </w:t>
      </w:r>
      <w:r>
        <w:rPr>
          <w:rFonts w:ascii="Cambria" w:hAnsi="Cambria"/>
          <w:b/>
          <w:bCs/>
        </w:rPr>
        <w:t xml:space="preserve">1%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Orujo de oliva crudo: extraído con disolvente (hexano) o medios físicos del orujo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Orujo de oliva refinado: acidez inferior al </w:t>
      </w:r>
      <w:r>
        <w:rPr>
          <w:rFonts w:ascii="Cambria" w:hAnsi="Cambria"/>
          <w:b/>
          <w:bCs/>
        </w:rPr>
        <w:t xml:space="preserve">0,3%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Orujo de oliva: mezcla de orujo refinado y virgen, acidez inferior al </w:t>
      </w:r>
      <w:r>
        <w:rPr>
          <w:rFonts w:ascii="Cambria" w:hAnsi="Cambria"/>
          <w:b/>
          <w:bCs/>
        </w:rPr>
        <w:t xml:space="preserve">1%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Sólo se autoriza la venta de virgen extra, virgen, aceite de oliva y orujo de oliva.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Regulados por el </w:t>
      </w:r>
      <w:r>
        <w:rPr>
          <w:rFonts w:ascii="Cambria" w:hAnsi="Cambria"/>
          <w:b/>
          <w:bCs/>
        </w:rPr>
        <w:t xml:space="preserve">Reglamento de Ejecución (UE) 2022/2104</w:t>
      </w:r>
      <w:r>
        <w:rPr>
          <w:rFonts w:ascii="Cambria" w:hAnsi="Cambria"/>
        </w:rPr>
        <w:t xml:space="preserve"> (normas de comercialización) y el </w:t>
      </w:r>
      <w:r>
        <w:rPr>
          <w:rFonts w:ascii="Cambria" w:hAnsi="Cambria"/>
          <w:b/>
          <w:bCs/>
        </w:rPr>
        <w:t xml:space="preserve">Reglamento de Ejecución (UE) 2022/2105</w:t>
      </w:r>
      <w:r>
        <w:rPr>
          <w:rFonts w:ascii="Cambria" w:hAnsi="Cambria"/>
        </w:rPr>
        <w:t xml:space="preserve"> (control de conformidad y métodos de análisis).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Ausencia de mezclas: prohibidas para la UE, permitidas para exportación a terceros países.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Parámetros físico-químicos: índice de acidez, índice de peróxidos, absorbancia UV (</w:t>
      </w:r>
      <w:r>
        <w:rPr>
          <w:rFonts w:ascii="Cambria" w:hAnsi="Cambria"/>
          <w:b/>
          <w:bCs/>
        </w:rPr>
        <w:t xml:space="preserve">K232, K268/K270, ΔK</w:t>
      </w:r>
      <w:r>
        <w:rPr>
          <w:rFonts w:ascii="Cambria" w:hAnsi="Cambria"/>
        </w:rPr>
        <w:t xml:space="preserve">), humedad e impurezas insolubles.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Contaminantes externos: antioxidantes prohibidos en vírgenes, residuos de plaguicidas bajo los </w:t>
      </w:r>
      <w:r>
        <w:rPr>
          <w:rFonts w:ascii="Cambria" w:hAnsi="Cambria"/>
          <w:b/>
          <w:bCs/>
        </w:rPr>
        <w:t xml:space="preserve">Límites Máximos de Residuos (LMR)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Análisis sensorial (Panel de Cata): obligatorio, catadores oficiales acreditados, método del </w:t>
      </w:r>
      <w:r>
        <w:rPr>
          <w:rFonts w:ascii="Cambria" w:hAnsi="Cambria"/>
          <w:b/>
          <w:bCs/>
        </w:rPr>
        <w:t xml:space="preserve">COI</w:t>
      </w:r>
      <w:r>
        <w:rPr>
          <w:rFonts w:ascii="Cambria" w:hAnsi="Cambria"/>
        </w:rPr>
        <w:t xml:space="preserve">, mediana del defecto igual a cero para el AOVE.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de envases: </w:t>
      </w: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sobre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Etiquetado: </w:t>
      </w:r>
      <w:r>
        <w:rPr>
          <w:rFonts w:ascii="Cambria" w:hAnsi="Cambria"/>
          <w:b/>
          <w:bCs/>
        </w:rPr>
        <w:t xml:space="preserve">Reglamento de Ejecución (UE) 2022/2104</w:t>
      </w:r>
      <w:r>
        <w:rPr>
          <w:rFonts w:ascii="Cambria" w:hAnsi="Cambria"/>
        </w:rPr>
        <w:t xml:space="preserve">, indicación obligatoria de origen en determinadas categorías.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Campaña </w:t>
      </w:r>
      <w:r>
        <w:rPr>
          <w:rFonts w:ascii="Cambria" w:hAnsi="Cambria"/>
          <w:b/>
          <w:bCs/>
        </w:rPr>
        <w:t xml:space="preserve">2024/2025</w:t>
      </w:r>
      <w:r>
        <w:rPr>
          <w:rFonts w:ascii="Cambria" w:hAnsi="Cambria"/>
        </w:rPr>
        <w:t xml:space="preserve">: récord mundial de </w:t>
      </w:r>
      <w:r>
        <w:rPr>
          <w:rFonts w:ascii="Cambria" w:hAnsi="Cambria"/>
          <w:b/>
          <w:bCs/>
        </w:rPr>
        <w:t xml:space="preserve">3,5 millones de toneladas</w:t>
      </w:r>
      <w:r>
        <w:rPr>
          <w:rFonts w:ascii="Cambria" w:hAnsi="Cambria"/>
        </w:rPr>
        <w:t xml:space="preserve"> (COI), </w:t>
      </w:r>
      <w:r>
        <w:rPr>
          <w:rFonts w:ascii="Cambria" w:hAnsi="Cambria"/>
          <w:b/>
          <w:bCs/>
        </w:rPr>
        <w:t xml:space="preserve">+38,6%</w:t>
      </w:r>
      <w:r>
        <w:rPr>
          <w:rFonts w:ascii="Cambria" w:hAnsi="Cambria"/>
        </w:rPr>
        <w:t xml:space="preserve"> interanual.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UE, </w:t>
      </w:r>
      <w:r>
        <w:rPr>
          <w:rFonts w:ascii="Cambria" w:hAnsi="Cambria"/>
          <w:b/>
          <w:bCs/>
        </w:rPr>
        <w:t xml:space="preserve">40%</w:t>
      </w:r>
      <w:r>
        <w:rPr>
          <w:rFonts w:ascii="Cambria" w:hAnsi="Cambria"/>
        </w:rPr>
        <w:t xml:space="preserve"> extracomunitario.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produjo </w:t>
      </w:r>
      <w:r>
        <w:rPr>
          <w:rFonts w:ascii="Cambria" w:hAnsi="Cambria"/>
          <w:b/>
          <w:bCs/>
        </w:rPr>
        <w:t xml:space="preserve">1,4 millones de toneladas</w:t>
      </w:r>
      <w:r>
        <w:rPr>
          <w:rFonts w:ascii="Cambria" w:hAnsi="Cambria"/>
        </w:rPr>
        <w:t xml:space="preserve"> (</w:t>
      </w:r>
      <w:r>
        <w:rPr>
          <w:rFonts w:ascii="Cambria" w:hAnsi="Cambria"/>
          <w:b/>
          <w:bCs/>
        </w:rPr>
        <w:t xml:space="preserve">65%</w:t>
      </w:r>
      <w:r>
        <w:rPr>
          <w:rFonts w:ascii="Cambria" w:hAnsi="Cambria"/>
        </w:rPr>
        <w:t xml:space="preserve"> de la UE, </w:t>
      </w:r>
      <w:r>
        <w:rPr>
          <w:rFonts w:ascii="Cambria" w:hAnsi="Cambria"/>
          <w:b/>
          <w:bCs/>
        </w:rPr>
        <w:t xml:space="preserve">40%</w:t>
      </w:r>
      <w:r>
        <w:rPr>
          <w:rFonts w:ascii="Cambria" w:hAnsi="Cambria"/>
        </w:rPr>
        <w:t xml:space="preserve"> mundial), con </w:t>
      </w:r>
      <w:r>
        <w:rPr>
          <w:rFonts w:ascii="Cambria" w:hAnsi="Cambria"/>
          <w:b/>
          <w:bCs/>
        </w:rPr>
        <w:t xml:space="preserve">+65%</w:t>
      </w:r>
      <w:r>
        <w:rPr>
          <w:rFonts w:ascii="Cambria" w:hAnsi="Cambria"/>
        </w:rPr>
        <w:t xml:space="preserve"> respecto a la campaña anterior, tras dos campañas bajas por sequía.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cuenta con más de </w:t>
      </w:r>
      <w:r>
        <w:rPr>
          <w:rFonts w:ascii="Cambria" w:hAnsi="Cambria"/>
          <w:b/>
          <w:bCs/>
        </w:rPr>
        <w:t xml:space="preserve">400.000</w:t>
      </w:r>
      <w:r>
        <w:rPr>
          <w:rFonts w:ascii="Cambria" w:hAnsi="Cambria"/>
        </w:rPr>
        <w:t xml:space="preserve"> propietarios olivareros, </w:t>
      </w:r>
      <w:r>
        <w:rPr>
          <w:rFonts w:ascii="Cambria" w:hAnsi="Cambria"/>
          <w:b/>
          <w:bCs/>
        </w:rPr>
        <w:t xml:space="preserve">2,4 millones</w:t>
      </w:r>
      <w:r>
        <w:rPr>
          <w:rFonts w:ascii="Cambria" w:hAnsi="Cambria"/>
        </w:rPr>
        <w:t xml:space="preserve"> de hectáreas y </w:t>
      </w:r>
      <w:r>
        <w:rPr>
          <w:rFonts w:ascii="Cambria" w:hAnsi="Cambria"/>
          <w:b/>
          <w:bCs/>
        </w:rPr>
        <w:t xml:space="preserve">1.835</w:t>
      </w:r>
      <w:r>
        <w:rPr>
          <w:rFonts w:ascii="Cambria" w:hAnsi="Cambria"/>
        </w:rPr>
        <w:t xml:space="preserve"> almazaras, concentradas en Andalucía (más del </w:t>
      </w:r>
      <w:r>
        <w:rPr>
          <w:rFonts w:ascii="Cambria" w:hAnsi="Cambria"/>
          <w:b/>
          <w:bCs/>
        </w:rPr>
        <w:t xml:space="preserve">75%</w:t>
      </w:r>
      <w:r>
        <w:rPr>
          <w:rFonts w:ascii="Cambria" w:hAnsi="Cambria"/>
        </w:rPr>
        <w:t xml:space="preserve">), Extremadura, centro, Murcia, valle del Ebro y Comunidad Valenciana.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Italia cayó un </w:t>
      </w:r>
      <w:r>
        <w:rPr>
          <w:rFonts w:ascii="Cambria" w:hAnsi="Cambria"/>
          <w:b/>
          <w:bCs/>
        </w:rPr>
        <w:t xml:space="preserve">24,5%</w:t>
      </w:r>
      <w:r>
        <w:rPr>
          <w:rFonts w:ascii="Cambria" w:hAnsi="Cambria"/>
        </w:rPr>
        <w:t xml:space="preserve"> (unas 225.000 t). Turquía y Túnez son productores emergentes, junto con Marruecos, Argelia y nuevos países como Australia, Argentina, Chile y México.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Tras precios máximos (superiores a </w:t>
      </w:r>
      <w:r>
        <w:rPr>
          <w:rFonts w:ascii="Cambria" w:hAnsi="Cambria"/>
          <w:b/>
          <w:bCs/>
        </w:rPr>
        <w:t xml:space="preserve">9 €/kg</w:t>
      </w:r>
      <w:r>
        <w:rPr>
          <w:rFonts w:ascii="Cambria" w:hAnsi="Cambria"/>
        </w:rPr>
        <w:t xml:space="preserve">), la recuperación de la oferta impulsó la demanda mundial (</w:t>
      </w:r>
      <w:r>
        <w:rPr>
          <w:rFonts w:ascii="Cambria" w:hAnsi="Cambria"/>
          <w:b/>
          <w:bCs/>
        </w:rPr>
        <w:t xml:space="preserve">+26%</w:t>
      </w:r>
      <w:r>
        <w:rPr>
          <w:rFonts w:ascii="Cambria" w:hAnsi="Cambria"/>
        </w:rPr>
        <w:t xml:space="preserve">) y el consumo doméstico español (</w:t>
      </w:r>
      <w:r>
        <w:rPr>
          <w:rFonts w:ascii="Cambria" w:hAnsi="Cambria"/>
          <w:b/>
          <w:bCs/>
        </w:rPr>
        <w:t xml:space="preserve">+37%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DATACOMEX, España exporta cerca de </w:t>
      </w:r>
      <w:r>
        <w:rPr>
          <w:rFonts w:ascii="Cambria" w:hAnsi="Cambria"/>
          <w:b/>
          <w:bCs/>
        </w:rPr>
        <w:t xml:space="preserve">5.000 M€</w:t>
      </w:r>
      <w:r>
        <w:rPr>
          <w:rFonts w:ascii="Cambria" w:hAnsi="Cambria"/>
        </w:rPr>
        <w:t xml:space="preserve">, casi el </w:t>
      </w:r>
      <w:r>
        <w:rPr>
          <w:rFonts w:ascii="Cambria" w:hAnsi="Cambria"/>
          <w:b/>
          <w:bCs/>
        </w:rPr>
        <w:t xml:space="preserve">10%</w:t>
      </w:r>
      <w:r>
        <w:rPr>
          <w:rFonts w:ascii="Cambria" w:hAnsi="Cambria"/>
        </w:rPr>
        <w:t xml:space="preserve"> de las exportaciones agroalimentarias, siendo primer exportador mundial a granel y envasado. Principales destinos: Italia, EEUU, Portugal, Francia, Reino Unido, Australia y China.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Más del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de las exportaciones son a granel, sobre todo a Italia, que reenvasa con mayor valor añadido.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Importaciones: caída del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, superan </w:t>
      </w:r>
      <w:r>
        <w:rPr>
          <w:rFonts w:ascii="Cambria" w:hAnsi="Cambria"/>
          <w:b/>
          <w:bCs/>
        </w:rPr>
        <w:t xml:space="preserve">700 M€</w:t>
      </w:r>
      <w:r>
        <w:rPr>
          <w:rFonts w:ascii="Cambria" w:hAnsi="Cambria"/>
        </w:rPr>
        <w:t xml:space="preserve">, procedentes de Portugal, Túnez y Marruecos.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Sanidad vegetal: la bacteria </w:t>
      </w:r>
      <w:r>
        <w:rPr>
          <w:rFonts w:ascii="Cambria" w:hAnsi="Cambria"/>
          <w:b/>
          <w:bCs/>
        </w:rPr>
        <w:t xml:space="preserve">Xylella fastidiosa</w:t>
      </w:r>
      <w:r>
        <w:rPr>
          <w:rFonts w:ascii="Cambria" w:hAnsi="Cambria"/>
        </w:rPr>
        <w:t xml:space="preserve"> devastó el olivar apuliano desde 2013, con casos confirmados en Baleares desde 2016 y Plan de Contingencia del MAPA.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ICEX realiza campañas de promoción en Brasil, México, EEUU, Francia y Alemania. En China (cuota del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), el </w:t>
      </w: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 emite certificados físico-químicos clave para el acceso.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Casos de fraude: retirada en Taiwán por adulteración y por clorofila cúprica (requiere certificado SOIVRE), y la Operación Mamma Mia (2016), con retirada de </w:t>
      </w:r>
      <w:r>
        <w:rPr>
          <w:rFonts w:ascii="Cambria" w:hAnsi="Cambria"/>
          <w:b/>
          <w:bCs/>
        </w:rPr>
        <w:t xml:space="preserve">2.000 toneladas</w:t>
      </w:r>
      <w:r>
        <w:rPr>
          <w:rFonts w:ascii="Cambria" w:hAnsi="Cambria"/>
        </w:rPr>
        <w:t xml:space="preserve"> por fraude de origen.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acuerdo arancelario UE-EEUU de junio de 2026 fija un tope del </w:t>
      </w:r>
      <w:r>
        <w:rPr>
          <w:rFonts w:ascii="Cambria" w:hAnsi="Cambria"/>
          <w:b/>
          <w:bCs/>
        </w:rPr>
        <w:t xml:space="preserve">15%</w:t>
      </w:r>
      <w:r>
        <w:rPr>
          <w:rFonts w:ascii="Cambria" w:hAnsi="Cambria"/>
        </w:rPr>
        <w:t xml:space="preserve"> para agroalimentarios transformados.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asociado en </w:t>
      </w:r>
      <w:r>
        <w:rPr>
          <w:rFonts w:ascii="Cambria" w:hAnsi="Cambria"/>
          <w:b/>
          <w:bCs/>
        </w:rPr>
        <w:t xml:space="preserve">ASOLIVA</w:t>
      </w:r>
      <w:r>
        <w:rPr>
          <w:rFonts w:ascii="Cambria" w:hAnsi="Cambria"/>
        </w:rPr>
        <w:t xml:space="preserve"> (Asociación Española de la Industria y el Comercio Exportador del Aceite de Oliva).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de Ejecución (UE) 2022/2104</w:t>
      </w:r>
      <w:r>
        <w:rPr>
          <w:rFonts w:ascii="Cambria" w:hAnsi="Cambria"/>
        </w:rPr>
        <w:t xml:space="preserve">, normas de comercialización del aceite de oliva.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de Ejecución (UE) 2022/2105</w:t>
      </w:r>
      <w:r>
        <w:rPr>
          <w:rFonts w:ascii="Cambria" w:hAnsi="Cambria"/>
        </w:rPr>
        <w:t xml:space="preserve">, control de conformidad y métodos de análisis, con métodos de referencia del COI, modificado por el </w:t>
      </w:r>
      <w:r>
        <w:rPr>
          <w:rFonts w:ascii="Cambria" w:hAnsi="Cambria"/>
          <w:b/>
          <w:bCs/>
        </w:rPr>
        <w:t xml:space="preserve">Reglamento de Ejecución (UE) 2024/2707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COI</w:t>
      </w:r>
      <w:r>
        <w:rPr>
          <w:rFonts w:ascii="Cambria" w:hAnsi="Cambria"/>
        </w:rPr>
        <w:t xml:space="preserve"> (Consejo Oleícola Internacional), sede en Madrid, referente en normalización y control de calidad.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SOIVRE</w:t>
      </w:r>
      <w:r>
        <w:rPr>
          <w:rFonts w:ascii="Cambria" w:hAnsi="Cambria"/>
        </w:rPr>
        <w:t xml:space="preserve">: clave en China (certificados físico-químicos) y en Brasil (reconocimiento mutuo de controles).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Orden PRE/3026/2003</w:t>
      </w:r>
      <w:r>
        <w:rPr>
          <w:rFonts w:ascii="Cambria" w:hAnsi="Cambria"/>
        </w:rPr>
        <w:t xml:space="preserve">, modificada por las Órdenes </w:t>
      </w:r>
      <w:r>
        <w:rPr>
          <w:rFonts w:ascii="Cambria" w:hAnsi="Cambria"/>
          <w:b/>
          <w:bCs/>
        </w:rPr>
        <w:t xml:space="preserve">ECC/2257/2013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ECC/2566/2015</w:t>
      </w:r>
      <w:r>
        <w:rPr>
          <w:rFonts w:ascii="Cambria" w:hAnsi="Cambria"/>
        </w:rPr>
        <w:t xml:space="preserve">, sobre inspección de calidad comercial en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895/2013</w:t>
      </w:r>
      <w:r>
        <w:rPr>
          <w:rFonts w:ascii="Cambria" w:hAnsi="Cambria"/>
        </w:rPr>
        <w:t xml:space="preserve">, medidas de comercialización del aceite de oliva y orujo, obliga a hostelería a usar envases irrellenables y etiquetados.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760/2021</w:t>
      </w:r>
      <w:r>
        <w:rPr>
          <w:rFonts w:ascii="Cambria" w:hAnsi="Cambria"/>
        </w:rPr>
        <w:t xml:space="preserve">, norma de calidad del aceite de oliva y orujo de oliva.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SEMILLAS OLEAGINOSAS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aceites refinados: girasol (rico en vitamina E), soja, cacahuete, germen de maíz, colza, cártamo, pepita de uva y mezclas de semillas.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Obtención por métodos físicos, químicos o combinados, seguidos de refinamiento.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Materia prima sana, limpia y madura.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Características organolépticas: aspecto limpio, color, olor y sabor propios.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Acidez: límite máximo del </w:t>
      </w:r>
      <w:r>
        <w:rPr>
          <w:rFonts w:ascii="Cambria" w:hAnsi="Cambria"/>
          <w:b/>
          <w:bCs/>
        </w:rPr>
        <w:t xml:space="preserve">0,3%</w:t>
      </w:r>
      <w:r>
        <w:rPr>
          <w:rFonts w:ascii="Cambria" w:hAnsi="Cambria"/>
        </w:rPr>
        <w:t xml:space="preserve"> en refinados.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Humedad y materias volátiles inferiores al </w:t>
      </w:r>
      <w:r>
        <w:rPr>
          <w:rFonts w:ascii="Cambria" w:hAnsi="Cambria"/>
          <w:b/>
          <w:bCs/>
        </w:rPr>
        <w:t xml:space="preserve">0,1%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Índice de peróxidos, residuos de jabón y disolvente nulos, y límites máximos de residuos.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FAO, el aceite de palma es el primero en producción mundial (</w:t>
      </w:r>
      <w:r>
        <w:rPr>
          <w:rFonts w:ascii="Cambria" w:hAnsi="Cambria"/>
          <w:b/>
          <w:bCs/>
        </w:rPr>
        <w:t xml:space="preserve">~80 millones de toneladas</w:t>
      </w:r>
      <w:r>
        <w:rPr>
          <w:rFonts w:ascii="Cambria" w:hAnsi="Cambria"/>
        </w:rPr>
        <w:t xml:space="preserve">), concentrado en Indonesia y Malasia (más del </w:t>
      </w:r>
      <w:r>
        <w:rPr>
          <w:rFonts w:ascii="Cambria" w:hAnsi="Cambria"/>
          <w:b/>
          <w:bCs/>
        </w:rPr>
        <w:t xml:space="preserve">85%</w:t>
      </w:r>
      <w:r>
        <w:rPr>
          <w:rFonts w:ascii="Cambria" w:hAnsi="Cambria"/>
        </w:rPr>
        <w:t xml:space="preserve">), seguidos de Tailandia, Colombia y Nigeria. La UE refuerza el control de importaciones ligadas a deforestación desde 2020.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aceite de soja es el segundo (</w:t>
      </w:r>
      <w:r>
        <w:rPr>
          <w:rFonts w:ascii="Cambria" w:hAnsi="Cambria"/>
          <w:b/>
          <w:bCs/>
        </w:rPr>
        <w:t xml:space="preserve">~60 millones de toneladas</w:t>
      </w:r>
      <w:r>
        <w:rPr>
          <w:rFonts w:ascii="Cambria" w:hAnsi="Cambria"/>
        </w:rPr>
        <w:t xml:space="preserve">), liderado por Brasil, EEUU y Argentina, con demanda creciente para biocombustibles.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aceite de girasol es el tercero (</w:t>
      </w:r>
      <w:r>
        <w:rPr>
          <w:rFonts w:ascii="Cambria" w:hAnsi="Cambria"/>
          <w:b/>
          <w:bCs/>
        </w:rPr>
        <w:t xml:space="preserve">~20 millones de toneladas</w:t>
      </w:r>
      <w:r>
        <w:rPr>
          <w:rFonts w:ascii="Cambria" w:hAnsi="Cambria"/>
        </w:rPr>
        <w:t xml:space="preserve">), con Ucrania, Rusia y Argentina como principales productores. El conflicto en Ucrania desde 2022 generó tensiones al concentrar ambos países más del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de la producción y exportación mundial.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aceite de colza (</w:t>
      </w:r>
      <w:r>
        <w:rPr>
          <w:rFonts w:ascii="Cambria" w:hAnsi="Cambria"/>
          <w:b/>
          <w:bCs/>
        </w:rPr>
        <w:t xml:space="preserve">~30 millones de toneladas</w:t>
      </w:r>
      <w:r>
        <w:rPr>
          <w:rFonts w:ascii="Cambria" w:hAnsi="Cambria"/>
        </w:rPr>
        <w:t xml:space="preserve">) es el principal en la UE, con Alemania, Francia y Polonia como productores comunitarios.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destaca en girasol y colza. Exportaciones de girasol superiores a </w:t>
      </w:r>
      <w:r>
        <w:rPr>
          <w:rFonts w:ascii="Cambria" w:hAnsi="Cambria"/>
          <w:b/>
          <w:bCs/>
        </w:rPr>
        <w:t xml:space="preserve">360 M€</w:t>
      </w:r>
      <w:r>
        <w:rPr>
          <w:rFonts w:ascii="Cambria" w:hAnsi="Cambria"/>
        </w:rPr>
        <w:t xml:space="preserve">, principalmente a Francia, Portugal y EEUU, con déficit comercial e importaciones de Ucrania, Bulgaria y Francia.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de soja en torno a </w:t>
      </w:r>
      <w:r>
        <w:rPr>
          <w:rFonts w:ascii="Cambria" w:hAnsi="Cambria"/>
          <w:b/>
          <w:bCs/>
        </w:rPr>
        <w:t xml:space="preserve">300 M€</w:t>
      </w:r>
      <w:r>
        <w:rPr>
          <w:rFonts w:ascii="Cambria" w:hAnsi="Cambria"/>
        </w:rPr>
        <w:t xml:space="preserve">, dirigidas a Marruecos, Italia y Francia, con superávit e importaciones a la baja (</w:t>
      </w:r>
      <w:r>
        <w:rPr>
          <w:rFonts w:ascii="Cambria" w:hAnsi="Cambria"/>
          <w:b/>
          <w:bCs/>
        </w:rPr>
        <w:t xml:space="preserve">-25%</w:t>
      </w:r>
      <w:r>
        <w:rPr>
          <w:rFonts w:ascii="Cambria" w:hAnsi="Cambria"/>
        </w:rPr>
        <w:t xml:space="preserve">) desde Países Bajos, Portugal y Turquía.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Creciente uso como biocombustibles, factor de presión al alza sobre los precios.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Englobadas en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351/2025</w:t>
      </w:r>
      <w:r>
        <w:rPr>
          <w:rFonts w:ascii="Cambria" w:hAnsi="Cambria"/>
        </w:rPr>
        <w:t xml:space="preserve">, norma de calidad de los aceites vegetales comestibles, introduce el concepto de aceite crudo, exige indicar si el aceite es refinado o de presión, y prohíbe los términos "virgen" o "virgen extra" fuera del aceite de oliva.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de AENOR sobre características y métodos analíticos.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máximos de contaminantes (hidrocarburos aromáticos policíclicos, ésteres de ácidos grasos de glicidilo).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ISO 542</w:t>
      </w:r>
      <w:r>
        <w:rPr>
          <w:rFonts w:ascii="Cambria" w:hAnsi="Cambria"/>
        </w:rPr>
        <w:t xml:space="preserve"> (semillas oleaginosas) e </w:t>
      </w:r>
      <w:r>
        <w:rPr>
          <w:rFonts w:ascii="Cambria" w:hAnsi="Cambria"/>
          <w:b/>
          <w:bCs/>
        </w:rPr>
        <w:t xml:space="preserve">ISO 5555</w:t>
      </w:r>
      <w:r>
        <w:rPr>
          <w:rFonts w:ascii="Cambria" w:hAnsi="Cambria"/>
        </w:rPr>
        <w:t xml:space="preserve"> (aceites vegetales) para control y muestreo.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GRASAS COMESTIBLES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Reguladas por la </w:t>
      </w:r>
      <w:r>
        <w:rPr>
          <w:rFonts w:ascii="Cambria" w:hAnsi="Cambria"/>
          <w:b/>
          <w:bCs/>
        </w:rPr>
        <w:t xml:space="preserve">Reglamentación Técnico-Sanitaria (RTS)</w:t>
      </w:r>
      <w:r>
        <w:rPr>
          <w:rFonts w:ascii="Cambria" w:hAnsi="Cambria"/>
        </w:rPr>
        <w:t xml:space="preserve">, aprobada por el </w:t>
      </w:r>
      <w:r>
        <w:rPr>
          <w:rFonts w:ascii="Cambria" w:hAnsi="Cambria"/>
          <w:b/>
          <w:bCs/>
        </w:rPr>
        <w:t xml:space="preserve">Real Decreto 1011/1981</w:t>
      </w:r>
      <w:r>
        <w:rPr>
          <w:rFonts w:ascii="Cambria" w:hAnsi="Cambria"/>
        </w:rPr>
        <w:t xml:space="preserve"> y actualizada por el </w:t>
      </w:r>
      <w:r>
        <w:rPr>
          <w:rFonts w:ascii="Cambria" w:hAnsi="Cambria"/>
          <w:b/>
          <w:bCs/>
        </w:rPr>
        <w:t xml:space="preserve">Real Decreto 142/2026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Clasificación: grasas vegetales (coco, palma, cacao), grasas animales (cerdo), grasas anhidras (humedad no superior al </w:t>
      </w:r>
      <w:r>
        <w:rPr>
          <w:rFonts w:ascii="Cambria" w:hAnsi="Cambria"/>
          <w:b/>
          <w:bCs/>
        </w:rPr>
        <w:t xml:space="preserve">0,5%</w:t>
      </w:r>
      <w:r>
        <w:rPr>
          <w:rFonts w:ascii="Cambria" w:hAnsi="Cambria"/>
        </w:rPr>
        <w:t xml:space="preserve">), margarina, minarina y preparados grasos (ej. mayonesa).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Factores de calidad comercial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Materia prima sana, limpia y madura.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Claridad y transparencia en estado fundido, color y sabor agradables o neutros.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Determinación de acidez, humedad e impurezas.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Índices de peróxidos, límites máximos de residuos (metales pesados) y punto de solidificación.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Análisis sectorial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Sector difícil de cuantificar por su diversidad de usos. España presenta déficit comercial según DATACOMEX.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Exportaciones a Portugal, Francia, Italia, EEUU y Corea del Sur. Importaciones desde la UE y de productores de grasas tropicales como China y Malasia.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Mercado en contracción por la preocupación por la salud, que reduce el consumo de grasas sólidas frente a aceites vegetales.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subsector de margarina presenta superávit, con destino principal en Francia, Portugal y EEUU.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Normativa aplicable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Englobadas en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ISO y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 para muestreo (sólo incluidas para aceites vegetales, no grasas).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normas de comercialización para grasas de untar.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etiquetado.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142/2026</w:t>
      </w:r>
      <w:r>
        <w:rPr>
          <w:rFonts w:ascii="Cambria" w:hAnsi="Cambria"/>
        </w:rPr>
        <w:t xml:space="preserve">, actualiza la ordenación de grasas comestibles y preparados grasos.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Normas </w:t>
      </w:r>
      <w:r>
        <w:rPr>
          <w:rFonts w:ascii="Cambria" w:hAnsi="Cambria"/>
          <w:b/>
          <w:bCs/>
        </w:rPr>
        <w:t xml:space="preserve">UNE</w:t>
      </w:r>
      <w:r>
        <w:rPr>
          <w:rFonts w:ascii="Cambria" w:hAnsi="Cambria"/>
        </w:rPr>
        <w:t xml:space="preserve"> de AENOR con metodologías analíticas oficiales.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NORMATIVA APLICABLE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Política Agrícola Común (PAC)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evolucionó desde las reformas de 2003 hacia la sostenibilidad, competitividad y simplificación administrativa. El </w:t>
      </w:r>
      <w:r>
        <w:rPr>
          <w:rFonts w:ascii="Cambria" w:hAnsi="Cambria"/>
          <w:b/>
          <w:bCs/>
        </w:rPr>
        <w:t xml:space="preserve">Reglamento (CE) 1234/2007</w:t>
      </w:r>
      <w:r>
        <w:rPr>
          <w:rFonts w:ascii="Cambria" w:hAnsi="Cambria"/>
        </w:rPr>
        <w:t xml:space="preserve"> fue sustituido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que crea la </w:t>
      </w:r>
      <w:r>
        <w:rPr>
          <w:rFonts w:ascii="Cambria" w:hAnsi="Cambria"/>
          <w:b/>
          <w:bCs/>
        </w:rPr>
        <w:t xml:space="preserve">OCM Única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PAC 2023-2027 se articula mediante: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2021/2115</w:t>
      </w:r>
      <w:r>
        <w:rPr>
          <w:rFonts w:ascii="Cambria" w:hAnsi="Cambria"/>
        </w:rPr>
        <w:t xml:space="preserve">, planes estratégicos financiados por FEAGA y FEADER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2021/2116</w:t>
      </w:r>
      <w:r>
        <w:rPr>
          <w:rFonts w:ascii="Cambria" w:hAnsi="Cambria"/>
        </w:rPr>
        <w:t xml:space="preserve">, financiación, gestión y seguimiento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modifica la OCM Única y los regímenes de calidad diferenciada, actualmente en el </w:t>
      </w:r>
      <w:r>
        <w:rPr>
          <w:rFonts w:ascii="Cambria" w:hAnsi="Cambria"/>
          <w:b/>
          <w:bCs/>
        </w:rPr>
        <w:t xml:space="preserve">Reglamento (UE) 2024/1143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Énfasis en sostenibilidad, eco-regímenes, condicionalidad reforzada, relevo generacional y digitalización.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Ómnibus (UE) 2017/2393</w:t>
      </w:r>
      <w:r>
        <w:rPr>
          <w:rFonts w:ascii="Cambria" w:hAnsi="Cambria"/>
        </w:rPr>
        <w:t xml:space="preserve"> introdujo simplificación: mayor flexibilidad en la definición de agricultor activo, ayudas a jóvenes agricultores hasta el </w:t>
      </w:r>
      <w:r>
        <w:rPr>
          <w:rFonts w:ascii="Cambria" w:hAnsi="Cambria"/>
          <w:b/>
          <w:bCs/>
        </w:rPr>
        <w:t xml:space="preserve">50%</w:t>
      </w:r>
      <w:r>
        <w:rPr>
          <w:rFonts w:ascii="Cambria" w:hAnsi="Cambria"/>
        </w:rPr>
        <w:t xml:space="preserve"> del pago básico, refuerzo de organizaciones de productores y adaptación del coeficiente de pastos mediterráneos.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Organización Común de Mercados (OCM)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Regulada por el </w:t>
      </w:r>
      <w:r>
        <w:rPr>
          <w:rFonts w:ascii="Cambria" w:hAnsi="Cambria"/>
          <w:b/>
          <w:bCs/>
        </w:rPr>
        <w:t xml:space="preserve">Reglamento (UE) 1308/2013</w:t>
      </w:r>
      <w:r>
        <w:rPr>
          <w:rFonts w:ascii="Cambria" w:hAnsi="Cambria"/>
        </w:rPr>
        <w:t xml:space="preserve">, modificado por el </w:t>
      </w:r>
      <w:r>
        <w:rPr>
          <w:rFonts w:ascii="Cambria" w:hAnsi="Cambria"/>
          <w:b/>
          <w:bCs/>
        </w:rPr>
        <w:t xml:space="preserve">Reglamento (UE) 2021/2117</w:t>
      </w:r>
      <w:r>
        <w:rPr>
          <w:rFonts w:ascii="Cambria" w:hAnsi="Cambria"/>
        </w:rPr>
        <w:t xml:space="preserve">, basada en unidad de mercado, solidaridad financiera y preferencia comunitaria.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clasificación de productos mediante normas de comercialización (para aceite de oliva, </w:t>
      </w:r>
      <w:r>
        <w:rPr>
          <w:rFonts w:ascii="Cambria" w:hAnsi="Cambria"/>
          <w:b/>
          <w:bCs/>
        </w:rPr>
        <w:t xml:space="preserve">Reglamento Delegado (UE) 2022/2104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de Ejecución (UE) 2022/2105</w:t>
      </w:r>
      <w:r>
        <w:rPr>
          <w:rFonts w:ascii="Cambria" w:hAnsi="Cambria"/>
        </w:rPr>
        <w:t xml:space="preserve">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Permite la constitución de Organizaciones de Productores e Interprofesionales, como </w:t>
      </w:r>
      <w:r>
        <w:rPr>
          <w:rFonts w:ascii="Cambria" w:hAnsi="Cambria"/>
          <w:b/>
          <w:bCs/>
        </w:rPr>
        <w:t xml:space="preserve">ASOLIVA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Régimen de intervención a cargo del FEGA y el FEAGA. La PAC 2023-2027 sustituyó el Pago Único por el </w:t>
      </w:r>
      <w:r>
        <w:rPr>
          <w:rFonts w:ascii="Cambria" w:hAnsi="Cambria"/>
          <w:b/>
          <w:bCs/>
        </w:rPr>
        <w:t xml:space="preserve">Pago Básico a la Sostenibilidad (BISS)</w:t>
      </w:r>
      <w:r>
        <w:rPr>
          <w:rFonts w:ascii="Cambria" w:hAnsi="Cambria"/>
        </w:rPr>
        <w:t xml:space="preserve">, con eco-regímenes y </w:t>
      </w:r>
      <w:r>
        <w:rPr>
          <w:rFonts w:ascii="Cambria" w:hAnsi="Cambria"/>
          <w:b/>
          <w:bCs/>
        </w:rPr>
        <w:t xml:space="preserve">Buenas Condiciones Agrarias y Medioambientales (BCAM)</w:t>
      </w:r>
      <w:r>
        <w:rPr>
          <w:rFonts w:ascii="Cambria" w:hAnsi="Cambria"/>
        </w:rPr>
        <w:t xml:space="preserve">. En aceite de oliva se mantienen los pagos acoplados.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Medidas de intercambio con terceros países: aranceles, contingentes y salvaguardias. Destaca el contingente arancelario preferencial con Túnez, mecanismo de apoyo tras la Primavera Árabe, renovado periódicamente.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Normativa voluntaria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papel de </w:t>
      </w:r>
      <w:r>
        <w:rPr>
          <w:rFonts w:ascii="Cambria" w:hAnsi="Cambria"/>
          <w:b/>
          <w:bCs/>
        </w:rPr>
        <w:t xml:space="preserve">CEPE/UN</w:t>
      </w:r>
      <w:r>
        <w:rPr>
          <w:rFonts w:ascii="Cambria" w:hAnsi="Cambria"/>
        </w:rPr>
        <w:t xml:space="preserve"> es limitado en este sector. Destacan los estándares del </w:t>
      </w:r>
      <w:r>
        <w:rPr>
          <w:rFonts w:ascii="Cambria" w:hAnsi="Cambria"/>
          <w:b/>
          <w:bCs/>
        </w:rPr>
        <w:t xml:space="preserve">COI</w:t>
      </w:r>
      <w:r>
        <w:rPr>
          <w:rFonts w:ascii="Cambria" w:hAnsi="Cambria"/>
        </w:rPr>
        <w:t xml:space="preserve"> y del </w:t>
      </w:r>
      <w:r>
        <w:rPr>
          <w:rFonts w:ascii="Cambria" w:hAnsi="Cambria"/>
          <w:b/>
          <w:bCs/>
        </w:rPr>
        <w:t xml:space="preserve">Codex Alimentarius</w:t>
      </w:r>
      <w:r>
        <w:rPr>
          <w:rFonts w:ascii="Cambria" w:hAnsi="Cambria"/>
        </w:rPr>
        <w:t xml:space="preserve"> (Norma </w:t>
      </w:r>
      <w:r>
        <w:rPr>
          <w:rFonts w:ascii="Cambria" w:hAnsi="Cambria"/>
          <w:b/>
          <w:bCs/>
        </w:rPr>
        <w:t xml:space="preserve">CXS 33-1981</w:t>
      </w:r>
      <w:r>
        <w:rPr>
          <w:rFonts w:ascii="Cambria" w:hAnsi="Cambria"/>
        </w:rPr>
        <w:t xml:space="preserve"> para aceites de oliva y orujo).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controlada</w:t>
      </w:r>
      <w:r>
        <w:rPr>
          <w:rFonts w:ascii="Cambria" w:hAnsi="Cambria"/>
        </w:rPr>
        <w:t xml:space="preserve">: normas UNE de AENOR.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ecológica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2018/848</w:t>
      </w:r>
      <w:r>
        <w:rPr>
          <w:rFonts w:ascii="Cambria" w:hAnsi="Cambria"/>
        </w:rPr>
        <w:t xml:space="preserve">. Modificado por el </w:t>
      </w:r>
      <w:r>
        <w:rPr>
          <w:rFonts w:ascii="Cambria" w:hAnsi="Cambria"/>
          <w:b/>
          <w:bCs/>
        </w:rPr>
        <w:t xml:space="preserve">Reglamento de Ejecución (UE) 2016/1842</w:t>
      </w:r>
      <w:r>
        <w:rPr>
          <w:rFonts w:ascii="Cambria" w:hAnsi="Cambria"/>
        </w:rPr>
        <w:t xml:space="preserve"> en certificación electrónica. El SOIVRE, según la </w:t>
      </w:r>
      <w:r>
        <w:rPr>
          <w:rFonts w:ascii="Cambria" w:hAnsi="Cambria"/>
          <w:b/>
          <w:bCs/>
        </w:rPr>
        <w:t xml:space="preserve">Orden ECC/1936/2014</w:t>
      </w:r>
      <w:r>
        <w:rPr>
          <w:rFonts w:ascii="Cambria" w:hAnsi="Cambria"/>
        </w:rPr>
        <w:t xml:space="preserve">, controla importaciones de productos vivos, transformados, piensos, materiales de reproducción y levaduras.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Producción integrada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Real Decreto 1201/2002</w:t>
      </w:r>
      <w:r>
        <w:rPr>
          <w:rFonts w:ascii="Cambria" w:hAnsi="Cambria"/>
        </w:rPr>
        <w:t xml:space="preserve">, con logotipo regulado por la </w:t>
      </w:r>
      <w:r>
        <w:rPr>
          <w:rFonts w:ascii="Cambria" w:hAnsi="Cambria"/>
          <w:b/>
          <w:bCs/>
        </w:rPr>
        <w:t xml:space="preserve">Orden APA/1/2004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DOP, IGP y ETG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Reglamento (UE) 2024/1143</w:t>
      </w:r>
      <w:r>
        <w:rPr>
          <w:rFonts w:ascii="Cambria" w:hAnsi="Cambria"/>
        </w:rPr>
        <w:t xml:space="preserve">, aplicado en España mediante la </w:t>
      </w:r>
      <w:r>
        <w:rPr>
          <w:rFonts w:ascii="Cambria" w:hAnsi="Cambria"/>
          <w:b/>
          <w:bCs/>
        </w:rPr>
        <w:t xml:space="preserve">Ley 6/2015</w:t>
      </w:r>
      <w:r>
        <w:rPr>
          <w:rFonts w:ascii="Cambria" w:hAnsi="Cambria"/>
        </w:rPr>
        <w:t xml:space="preserve">, que atribuye a la </w:t>
      </w:r>
      <w:r>
        <w:rPr>
          <w:rFonts w:ascii="Cambria" w:hAnsi="Cambria"/>
          <w:b/>
          <w:bCs/>
        </w:rPr>
        <w:t xml:space="preserve">AICA</w:t>
      </w:r>
      <w:r>
        <w:rPr>
          <w:rFonts w:ascii="Cambria" w:hAnsi="Cambria"/>
        </w:rPr>
        <w:t xml:space="preserve"> el control de comercialización. Ejemplos: DOP Priego de Córdoba, Montes de Toledo, Sierra de Cádiz y Sierra Mágina.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5.4. Normativa general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175/2004</w:t>
      </w:r>
      <w:r>
        <w:rPr>
          <w:rFonts w:ascii="Cambria" w:hAnsi="Cambria"/>
        </w:rPr>
        <w:t xml:space="preserve">, designa la autoridad de control de normas de comercialización en la Secretaría de Estado de Comercio.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(CE) 396/2005</w:t>
      </w:r>
      <w:r>
        <w:rPr>
          <w:rFonts w:ascii="Cambria" w:hAnsi="Cambria"/>
        </w:rPr>
        <w:t xml:space="preserve">, límites máximos de residuos de plaguicidas.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2023/915</w:t>
      </w:r>
      <w:r>
        <w:rPr>
          <w:rFonts w:ascii="Cambria" w:hAnsi="Cambria"/>
        </w:rPr>
        <w:t xml:space="preserve">, límites máximos de contaminantes en alimentos.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Reglamento (UE) 1169/2011</w:t>
      </w:r>
      <w:r>
        <w:rPr>
          <w:rFonts w:ascii="Cambria" w:hAnsi="Cambria"/>
        </w:rPr>
        <w:t xml:space="preserve">, información al consumidor y etiquetado nutricional.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Real Decreto 1055/2022</w:t>
      </w:r>
      <w:r>
        <w:rPr>
          <w:rFonts w:ascii="Cambria" w:hAnsi="Cambria"/>
        </w:rPr>
        <w:t xml:space="preserve">, envases y residuos de envases.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Paquete de higiene: </w:t>
      </w:r>
      <w:r>
        <w:rPr>
          <w:rFonts w:ascii="Cambria" w:hAnsi="Cambria"/>
          <w:b/>
          <w:bCs/>
        </w:rPr>
        <w:t xml:space="preserve">Reglamentos (CE) 852/2004 y 853/2004</w:t>
      </w:r>
      <w:r>
        <w:rPr>
          <w:rFonts w:ascii="Cambria" w:hAnsi="Cambria"/>
        </w:rPr>
        <w:t xml:space="preserve"> y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sobre controles oficiales.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28/2015</w:t>
      </w:r>
      <w:r>
        <w:rPr>
          <w:rFonts w:ascii="Cambria" w:hAnsi="Cambria"/>
        </w:rPr>
        <w:t xml:space="preserve">, defensa de la calidad alimentaria, con régimen sancionador.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Ley 1/2025</w:t>
      </w:r>
      <w:r>
        <w:rPr>
          <w:rFonts w:ascii="Cambria" w:hAnsi="Cambria"/>
        </w:rPr>
        <w:t xml:space="preserve">, prevención de pérdidas y desperdicio alimentario.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 es primer productor y exportador mundial de aceite de oliva, con en torno al </w:t>
      </w:r>
      <w:r>
        <w:rPr>
          <w:rFonts w:ascii="Cambria" w:hAnsi="Cambria"/>
          <w:b/>
          <w:bCs/>
        </w:rPr>
        <w:t xml:space="preserve">40%</w:t>
      </w:r>
      <w:r>
        <w:rPr>
          <w:rFonts w:ascii="Cambria" w:hAnsi="Cambria"/>
        </w:rPr>
        <w:t xml:space="preserve"> de la producción mundial y cerca del </w:t>
      </w:r>
      <w:r>
        <w:rPr>
          <w:rFonts w:ascii="Cambria" w:hAnsi="Cambria"/>
          <w:b/>
          <w:bCs/>
        </w:rPr>
        <w:t xml:space="preserve">10%</w:t>
      </w:r>
      <w:r>
        <w:rPr>
          <w:rFonts w:ascii="Cambria" w:hAnsi="Cambria"/>
        </w:rPr>
        <w:t xml:space="preserve"> del valor de las exportaciones agroalimentarias, sobre una estructura de más de </w:t>
      </w:r>
      <w:r>
        <w:rPr>
          <w:rFonts w:ascii="Cambria" w:hAnsi="Cambria"/>
          <w:b/>
          <w:bCs/>
        </w:rPr>
        <w:t xml:space="preserve">400.000</w:t>
      </w:r>
      <w:r>
        <w:rPr>
          <w:rFonts w:ascii="Cambria" w:hAnsi="Cambria"/>
        </w:rPr>
        <w:t xml:space="preserve"> olivareros, </w:t>
      </w:r>
      <w:r>
        <w:rPr>
          <w:rFonts w:ascii="Cambria" w:hAnsi="Cambria"/>
          <w:b/>
          <w:bCs/>
        </w:rPr>
        <w:t xml:space="preserve">2,4 millones</w:t>
      </w:r>
      <w:r>
        <w:rPr>
          <w:rFonts w:ascii="Cambria" w:hAnsi="Cambria"/>
        </w:rPr>
        <w:t xml:space="preserve"> de hectáreas y </w:t>
      </w:r>
      <w:r>
        <w:rPr>
          <w:rFonts w:ascii="Cambria" w:hAnsi="Cambria"/>
          <w:b/>
          <w:bCs/>
        </w:rPr>
        <w:t xml:space="preserve">1.835</w:t>
      </w:r>
      <w:r>
        <w:rPr>
          <w:rFonts w:ascii="Cambria" w:hAnsi="Cambria"/>
        </w:rPr>
        <w:t xml:space="preserve"> almazaras.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Retos: el Acuerdo UE-Mercosur introduce presión competitiva de Argentina, Uruguay y Chile en aceite de oliva, y de aceites de semillas de Mercosur, junto con las grasas tropicales de Indonesia y Malasia.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 EEUU, primer mercado extracomunitario, persiste incertidumbre arancelaria sobre el aceite envasado, mientras más del </w:t>
      </w:r>
      <w:r>
        <w:rPr>
          <w:rFonts w:ascii="Cambria" w:hAnsi="Cambria"/>
          <w:b/>
          <w:bCs/>
        </w:rPr>
        <w:t xml:space="preserve">60%</w:t>
      </w:r>
      <w:r>
        <w:rPr>
          <w:rFonts w:ascii="Cambria" w:hAnsi="Cambria"/>
        </w:rPr>
        <w:t xml:space="preserve"> de las exportaciones a Italia se realizan a granel, con pérdida de valor añadido.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variabilidad productiva por el cambio climático, especialmente por la disponibilidad hídrica en Andalucía, dificulta la planificación exportadora.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 necesario avanzar en diferenciación, envasado en origen, diversificación de mercados y en exigir a terceros países estándares medioambientales y de sostenibilidad equivalentes a los comunitarios.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12 – Sector de aceites y grasas comestibles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