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1. INTRODUCCIÓN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Los cambios sociológicos (incorporación de la mujer al trabajo, ocio) han reducido el tiempo dedicado a cocinar, favoreciendo los </w:t>
      </w:r>
      <w:r>
        <w:rPr>
          <w:rFonts w:ascii="Cambria" w:hAnsi="Cambria"/>
          <w:b/>
          <w:bCs/>
        </w:rPr>
        <w:t xml:space="preserve">platos preparados</w:t>
      </w:r>
      <w:r>
        <w:rPr>
          <w:rFonts w:ascii="Cambria" w:hAnsi="Cambria"/>
        </w:rPr>
        <w:t xml:space="preserve">, posibles gracias a la tecnología alimentaria.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tema se estructura en descripción y designación de productos (</w:t>
      </w:r>
      <w:r>
        <w:rPr>
          <w:rFonts w:ascii="Cambria" w:hAnsi="Cambria"/>
          <w:b/>
          <w:bCs/>
        </w:rPr>
        <w:t xml:space="preserve">condimentos y especias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platos preparados</w:t>
      </w:r>
      <w:r>
        <w:rPr>
          <w:rFonts w:ascii="Cambria" w:hAnsi="Cambria"/>
        </w:rPr>
        <w:t xml:space="preserve">), factores de calidad comercial, análisis sectorial y normativa aplicable (OCM, Normas de Comercialización UE, CEPE/UN, CODEX, folletos OCDE, producción controlada, ecológica e integrada, y legislación general).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2. DESCRIPCIÓN Y DESIGNACIÓN DE LOS PRINCIPALES PRODUCTOS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2.1. Condimentos y especias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Los condimentos y especias actúan como colorante y conservante, limitando la actividad microbiana.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Azafrán</w:t>
      </w:r>
      <w:r>
        <w:rPr>
          <w:rFonts w:ascii="Cambria" w:hAnsi="Cambria"/>
        </w:rPr>
        <w:t xml:space="preserve">: estigmas de *Crocus sativus*, con color por la crocina y sabor por la picrocrocina. La norma </w:t>
      </w:r>
      <w:r>
        <w:rPr>
          <w:rFonts w:ascii="Cambria" w:hAnsi="Cambria"/>
          <w:b/>
          <w:bCs/>
        </w:rPr>
        <w:t xml:space="preserve">ISO 3632</w:t>
      </w:r>
      <w:r>
        <w:rPr>
          <w:rFonts w:ascii="Cambria" w:hAnsi="Cambria"/>
        </w:rPr>
        <w:t xml:space="preserve"> lo clasifica en categoría I (máxima calidad), II (media) y III (estándar). Denominaciones comerciales tradicionales en España (no normalizadas): Coupé, Mancha, Río y Sierra.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Pimentón</w:t>
      </w:r>
      <w:r>
        <w:rPr>
          <w:rFonts w:ascii="Cambria" w:hAnsi="Cambria"/>
        </w:rPr>
        <w:t xml:space="preserve">: de *Capsicum annuum*, con carotenoides (color) y capsaicina (picante). Variedades dulce, picante y agridulce.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Alcaparra</w:t>
      </w:r>
      <w:r>
        <w:rPr>
          <w:rFonts w:ascii="Cambria" w:hAnsi="Cambria"/>
        </w:rPr>
        <w:t xml:space="preserve">: botones florales de *Capparis spinosa*, conservados y fermentados.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Pimienta negra y blanca</w:t>
      </w:r>
      <w:r>
        <w:rPr>
          <w:rFonts w:ascii="Cambria" w:hAnsi="Cambria"/>
        </w:rPr>
        <w:t xml:space="preserve">: de *Piper nigrum*, principio activo la piperina. La negra se recolecta inmadura (5-9 % piperina) y la blanca madura y macerada (5-7 %).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Vainilla</w:t>
      </w:r>
      <w:r>
        <w:rPr>
          <w:rFonts w:ascii="Cambria" w:hAnsi="Cambria"/>
        </w:rPr>
        <w:t xml:space="preserve">: fruto de *Vanilla planifolia*, sabor por la vainillina.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Canela</w:t>
      </w:r>
      <w:r>
        <w:rPr>
          <w:rFonts w:ascii="Cambria" w:hAnsi="Cambria"/>
        </w:rPr>
        <w:t xml:space="preserve">: corteza del género *Cinnamomum*, principios activos el aldehído cinámico y el eugenol.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Sal</w:t>
      </w:r>
      <w:r>
        <w:rPr>
          <w:rFonts w:ascii="Cambria" w:hAnsi="Cambria"/>
        </w:rPr>
        <w:t xml:space="preserve">: según el </w:t>
      </w:r>
      <w:r>
        <w:rPr>
          <w:rFonts w:ascii="Cambria" w:hAnsi="Cambria"/>
          <w:b/>
          <w:bCs/>
        </w:rPr>
        <w:t xml:space="preserve">Código Alimentario Español</w:t>
      </w:r>
      <w:r>
        <w:rPr>
          <w:rFonts w:ascii="Cambria" w:hAnsi="Cambria"/>
        </w:rPr>
        <w:t xml:space="preserve">, cloruro sódico apto para consumo. Tipos: de piedra o gema, de fuente o mineral, marina, común y especiales.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Vinagre</w:t>
      </w:r>
      <w:r>
        <w:rPr>
          <w:rFonts w:ascii="Cambria" w:hAnsi="Cambria"/>
        </w:rPr>
        <w:t xml:space="preserve">: regulado por el </w:t>
      </w:r>
      <w:r>
        <w:rPr>
          <w:rFonts w:ascii="Cambria" w:hAnsi="Cambria"/>
          <w:b/>
          <w:bCs/>
        </w:rPr>
        <w:t xml:space="preserve">Real Decreto 661/2012</w:t>
      </w:r>
      <w:r>
        <w:rPr>
          <w:rFonts w:ascii="Cambria" w:hAnsi="Cambria"/>
        </w:rPr>
        <w:t xml:space="preserve">, que define su norma de calidad según materia prima (vino, frutas, sidra, alcohol, cereales, malta, miel).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2.2. Factores de calidad comercial de condimentos y especias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calidad comercial</w:t>
      </w:r>
      <w:r>
        <w:rPr>
          <w:rFonts w:ascii="Cambria" w:hAnsi="Cambria"/>
        </w:rPr>
        <w:t xml:space="preserve"> es el valor añadido tras selección, clasificación, verificación, acondicionamiento, envasado y transporte.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Azafrán: se evalúan humedad, cenizas totales e insolubles, extracto etéreo, fibra bruta y nitrógeno, y se detectan adulteraciones (tartrazina E-102) mediante </w:t>
      </w:r>
      <w:r>
        <w:rPr>
          <w:rFonts w:ascii="Cambria" w:hAnsi="Cambria"/>
          <w:b/>
          <w:bCs/>
        </w:rPr>
        <w:t xml:space="preserve">HPLC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Pimentón: parámetros equivalentes, con control de adulteración por aceites vegetales o colorantes Sudán no autorizados.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2.3. Análisis sectorial de condimentos y especias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comercio exterior del sector presenta saldo positivo según </w:t>
      </w:r>
      <w:r>
        <w:rPr>
          <w:rFonts w:ascii="Cambria" w:hAnsi="Cambria"/>
          <w:b/>
          <w:bCs/>
        </w:rPr>
        <w:t xml:space="preserve">DataComex 2025</w:t>
      </w:r>
      <w:r>
        <w:rPr>
          <w:rFonts w:ascii="Cambria" w:hAnsi="Cambria"/>
        </w:rPr>
        <w:t xml:space="preserve">, con diversificación geográfica creciente.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Azafrán: España pasó de producir el 45-50 % mundial al 3 % actual, siendo Irán el primer productor (80 %), seguido de Afganistán y Grecia. España es primer productor UE y principal exportador de calidad, con </w:t>
      </w:r>
      <w:r>
        <w:rPr>
          <w:rFonts w:ascii="Cambria" w:hAnsi="Cambria"/>
          <w:b/>
          <w:bCs/>
        </w:rPr>
        <w:t xml:space="preserve">DOP Azafrán de La Mancha</w:t>
      </w:r>
      <w:r>
        <w:rPr>
          <w:rFonts w:ascii="Cambria" w:hAnsi="Cambria"/>
        </w:rPr>
        <w:t xml:space="preserve"> en Toledo. Superávit de casi 4 M€, exportando a EEUU, Suecia, Italia, Argentina, Francia y EAU, e importando de Irán y Afganistán.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Pimentón: producido en China e India, y en España en Murcia y Cáceres (</w:t>
      </w:r>
      <w:r>
        <w:rPr>
          <w:rFonts w:ascii="Cambria" w:hAnsi="Cambria"/>
          <w:b/>
          <w:bCs/>
        </w:rPr>
        <w:t xml:space="preserve">DOP Pimentón de la Vera</w:t>
      </w:r>
      <w:r>
        <w:rPr>
          <w:rFonts w:ascii="Cambria" w:hAnsi="Cambria"/>
        </w:rPr>
        <w:t xml:space="preserve">). Superávit superior a 140 M€, exportando a EEUU, Alemania, Reino Unido y Francia, e importando de China, Perú y Zambia.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Sal: principales productores China, EEUU, India y Alemania. España, 3er exportador europeo, produce en Cantabria, Cataluña y Comunidad Valenciana. Superávit superior a 140 M€, exportando a EEUU, Bélgica, Francia y Portugal.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Vinagre: destacan Alemania en vinagre de alcohol e Italia y España en vinagre de vino (90 % de la producción española). Superávit superior a 45 M€, exportando a EEUU, Reino Unido, Francia e Italia.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2.4. Platos preparados y precocinados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Real Decreto 1021/2022</w:t>
      </w:r>
      <w:r>
        <w:rPr>
          <w:rFonts w:ascii="Cambria" w:hAnsi="Cambria"/>
        </w:rPr>
        <w:t xml:space="preserve"> regula los requisitos de higiene de los platos preparados en el comercio minorista, definiéndolos como elaboración culinaria de vegetal o animal, envasada o no, lista para consumo directo o tras tratamiento. Distingue: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Platos precocinados: elaboración incompleta, requieren tratamiento adicional.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Platos cocinados: elaboración completa, con o sin calentamiento previo.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Platos cocinados de consumo inmediato: a más de 65 ºC, consumo en el día.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2.5. Alimentos dietéticos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Regulados por el </w:t>
      </w:r>
      <w:r>
        <w:rPr>
          <w:rFonts w:ascii="Cambria" w:hAnsi="Cambria"/>
          <w:b/>
          <w:bCs/>
        </w:rPr>
        <w:t xml:space="preserve">Reglamento (UE) 609/2013</w:t>
      </w:r>
      <w:r>
        <w:rPr>
          <w:rFonts w:ascii="Cambria" w:hAnsi="Cambria"/>
        </w:rPr>
        <w:t xml:space="preserve">, para necesidades nutritivas específicas. Dos tipos: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Para personas sanas, incluyendo lactantes.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Para situaciones especiales: embarazadas, personas mayores, diabéticos, y regímenes dietéticos (levaduras, germen de trigo, polen, jalea real).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2.6. Caldos, sopas deshidratadas y salsas de mesa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Caldos y sopas deshidratadas: sólidos o líquidos para mezcla con agua hasta ebullición, distinguiéndose preparados para caldos (sal, grasas, extractos, especias) y para sopas (pastas, harinas, sémolas).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Salsas de mesa más producidas: tomate frito, kétchup, mostaza y mayonesa.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2.7. Factores de calidad comercial del resto de productos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Platos preparados: materias primas sanas, exentas de materias extrañas, envasado y etiquetado adecuados, tratamiento culinario correcto y ausencia de patógenos y contaminantes.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Alimentos dietéticos: elaborados con productos sanos y técnicas correctas, ajustados a normativa microbiológica. Los lactantes requieren valores mínimos y máximos de proteína por 100 kcal, según el tipo de proteína.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Caldos y sopas deshidratadas: humedad inferior al </w:t>
      </w:r>
      <w:r>
        <w:rPr>
          <w:rFonts w:ascii="Cambria" w:hAnsi="Cambria"/>
          <w:b/>
          <w:bCs/>
        </w:rPr>
        <w:t xml:space="preserve">20 %</w:t>
      </w:r>
      <w:r>
        <w:rPr>
          <w:rFonts w:ascii="Cambria" w:hAnsi="Cambria"/>
        </w:rPr>
        <w:t xml:space="preserve"> y sal inferior al </w:t>
      </w:r>
      <w:r>
        <w:rPr>
          <w:rFonts w:ascii="Cambria" w:hAnsi="Cambria"/>
          <w:b/>
          <w:bCs/>
        </w:rPr>
        <w:t xml:space="preserve">65 %</w:t>
      </w:r>
      <w:r>
        <w:rPr>
          <w:rFonts w:ascii="Cambria" w:hAnsi="Cambria"/>
        </w:rPr>
        <w:t xml:space="preserve"> en seco.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2.8. Análisis sectorial del resto de productos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comercio exterior de platos preparados encuentra dificultades por costes de transporte y almacenamiento.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Materia prima importada de China y Perú (verduras) y China, Vietnam, Marruecos y otros Estados miembros (pescado). Exportación de hamburguesas, gazpachos y cremas a Francia. Mercado dominado por multinacionales como McCain, Pescanova y Findus.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Salsas y sopas: superávit notable, exportando a Francia, Reino Unido, Italia y Portugal, e importando de Italia, Países Bajos, Alemania y Francia.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Pastas alimenticias: déficit de unos 150 M€, importando principalmente de Italia y exportando a Francia y Portugal.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3. NORMATIVA APLICABLE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3.1. Política Agrícola Común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PAC evolucionó desde 2003 hacia sostenibilidad y simplificación. El </w:t>
      </w:r>
      <w:r>
        <w:rPr>
          <w:rFonts w:ascii="Cambria" w:hAnsi="Cambria"/>
          <w:b/>
          <w:bCs/>
        </w:rPr>
        <w:t xml:space="preserve">Reglamento (CE) 1234/2007</w:t>
      </w:r>
      <w:r>
        <w:rPr>
          <w:rFonts w:ascii="Cambria" w:hAnsi="Cambria"/>
        </w:rPr>
        <w:t xml:space="preserve"> fue sustituido por el </w:t>
      </w:r>
      <w:r>
        <w:rPr>
          <w:rFonts w:ascii="Cambria" w:hAnsi="Cambria"/>
          <w:b/>
          <w:bCs/>
        </w:rPr>
        <w:t xml:space="preserve">Reglamento (UE) 1308/2013</w:t>
      </w:r>
      <w:r>
        <w:rPr>
          <w:rFonts w:ascii="Cambria" w:hAnsi="Cambria"/>
        </w:rPr>
        <w:t xml:space="preserve">, que crea la OCM Única.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PAC 2023-2027 se articula mediante el </w:t>
      </w:r>
      <w:r>
        <w:rPr>
          <w:rFonts w:ascii="Cambria" w:hAnsi="Cambria"/>
          <w:b/>
          <w:bCs/>
        </w:rPr>
        <w:t xml:space="preserve">Reglamento (UE) 2021/2115</w:t>
      </w:r>
      <w:r>
        <w:rPr>
          <w:rFonts w:ascii="Cambria" w:hAnsi="Cambria"/>
        </w:rPr>
        <w:t xml:space="preserve"> (planes estratégicos financiados por FEAGA y FEADER), el </w:t>
      </w:r>
      <w:r>
        <w:rPr>
          <w:rFonts w:ascii="Cambria" w:hAnsi="Cambria"/>
          <w:b/>
          <w:bCs/>
        </w:rPr>
        <w:t xml:space="preserve">Reglamento (UE) 2021/2116</w:t>
      </w:r>
      <w:r>
        <w:rPr>
          <w:rFonts w:ascii="Cambria" w:hAnsi="Cambria"/>
        </w:rPr>
        <w:t xml:space="preserve"> (financiación y gestión) y el </w:t>
      </w:r>
      <w:r>
        <w:rPr>
          <w:rFonts w:ascii="Cambria" w:hAnsi="Cambria"/>
          <w:b/>
          <w:bCs/>
        </w:rPr>
        <w:t xml:space="preserve">Reglamento (UE) 2021/2117</w:t>
      </w:r>
      <w:r>
        <w:rPr>
          <w:rFonts w:ascii="Cambria" w:hAnsi="Cambria"/>
        </w:rPr>
        <w:t xml:space="preserve"> (modifica la OCM Única y los regímenes de calidad diferenciada, hoy en el </w:t>
      </w:r>
      <w:r>
        <w:rPr>
          <w:rFonts w:ascii="Cambria" w:hAnsi="Cambria"/>
          <w:b/>
          <w:bCs/>
        </w:rPr>
        <w:t xml:space="preserve">Reglamento (UE) 2024/1143</w:t>
      </w:r>
      <w:r>
        <w:rPr>
          <w:rFonts w:ascii="Cambria" w:hAnsi="Cambria"/>
        </w:rPr>
        <w:t xml:space="preserve">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Reglamento Ómnibus (UE) 2017/2393</w:t>
      </w:r>
      <w:r>
        <w:rPr>
          <w:rFonts w:ascii="Cambria" w:hAnsi="Cambria"/>
        </w:rPr>
        <w:t xml:space="preserve"> introdujo simplificaciones: flexibilidad en la definición de agricultor activo, ayudas a jóvenes agricultores hasta el </w:t>
      </w:r>
      <w:r>
        <w:rPr>
          <w:rFonts w:ascii="Cambria" w:hAnsi="Cambria"/>
          <w:b/>
          <w:bCs/>
        </w:rPr>
        <w:t xml:space="preserve">50 %</w:t>
      </w:r>
      <w:r>
        <w:rPr>
          <w:rFonts w:ascii="Cambria" w:hAnsi="Cambria"/>
        </w:rPr>
        <w:t xml:space="preserve"> del pago básico, refuerzo de organizaciones de productores, flexibilización de pagos acoplados y mejora de la gestión de riesgos.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3.2. Organización Común de Mercados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Regulada por el </w:t>
      </w:r>
      <w:r>
        <w:rPr>
          <w:rFonts w:ascii="Cambria" w:hAnsi="Cambria"/>
          <w:b/>
          <w:bCs/>
        </w:rPr>
        <w:t xml:space="preserve">Reglamento (UE) 1308/2013</w:t>
      </w:r>
      <w:r>
        <w:rPr>
          <w:rFonts w:ascii="Cambria" w:hAnsi="Cambria"/>
        </w:rPr>
        <w:t xml:space="preserve">, modificado por el </w:t>
      </w:r>
      <w:r>
        <w:rPr>
          <w:rFonts w:ascii="Cambria" w:hAnsi="Cambria"/>
          <w:b/>
          <w:bCs/>
        </w:rPr>
        <w:t xml:space="preserve">Reglamento (UE) 2021/2117</w:t>
      </w:r>
      <w:r>
        <w:rPr>
          <w:rFonts w:ascii="Cambria" w:hAnsi="Cambria"/>
        </w:rPr>
        <w:t xml:space="preserve">, sobre unidad de mercado, solidaridad financiera y preferencia comunitaria.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Establece la clasificación de productos mediante las </w:t>
      </w:r>
      <w:r>
        <w:rPr>
          <w:rFonts w:ascii="Cambria" w:hAnsi="Cambria"/>
          <w:b/>
          <w:bCs/>
        </w:rPr>
        <w:t xml:space="preserve">Normas de Comercialización de la UE</w:t>
      </w:r>
      <w:r>
        <w:rPr>
          <w:rFonts w:ascii="Cambria" w:hAnsi="Cambria"/>
        </w:rPr>
        <w:t xml:space="preserve">, referenciadas en las normas </w:t>
      </w:r>
      <w:r>
        <w:rPr>
          <w:rFonts w:ascii="Cambria" w:hAnsi="Cambria"/>
          <w:b/>
          <w:bCs/>
        </w:rPr>
        <w:t xml:space="preserve">WP7</w:t>
      </w:r>
      <w:r>
        <w:rPr>
          <w:rFonts w:ascii="Cambria" w:hAnsi="Cambria"/>
        </w:rPr>
        <w:t xml:space="preserve"> de CEPE/UN.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Prevé la constitución de organizaciones de productores e interprofesionales (ej. </w:t>
      </w:r>
      <w:r>
        <w:rPr>
          <w:rFonts w:ascii="Cambria" w:hAnsi="Cambria"/>
          <w:b/>
          <w:bCs/>
        </w:rPr>
        <w:t xml:space="preserve">FIAB</w:t>
      </w:r>
      <w:r>
        <w:rPr>
          <w:rFonts w:ascii="Cambria" w:hAnsi="Cambria"/>
        </w:rPr>
        <w:t xml:space="preserve">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Establece un régimen de intervención (</w:t>
      </w:r>
      <w:r>
        <w:rPr>
          <w:rFonts w:ascii="Cambria" w:hAnsi="Cambria"/>
          <w:b/>
          <w:bCs/>
        </w:rPr>
        <w:t xml:space="preserve">FEGA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FEAGA</w:t>
      </w:r>
      <w:r>
        <w:rPr>
          <w:rFonts w:ascii="Cambria" w:hAnsi="Cambria"/>
        </w:rPr>
        <w:t xml:space="preserve">), con el </w:t>
      </w:r>
      <w:r>
        <w:rPr>
          <w:rFonts w:ascii="Cambria" w:hAnsi="Cambria"/>
          <w:b/>
          <w:bCs/>
        </w:rPr>
        <w:t xml:space="preserve">Pago Básico a la Sostenibilidad (BISS)</w:t>
      </w:r>
      <w:r>
        <w:rPr>
          <w:rFonts w:ascii="Cambria" w:hAnsi="Cambria"/>
        </w:rPr>
        <w:t xml:space="preserve"> sustituyendo al antiguo Pago Único, junto con eco-regímenes y las </w:t>
      </w:r>
      <w:r>
        <w:rPr>
          <w:rFonts w:ascii="Cambria" w:hAnsi="Cambria"/>
          <w:b/>
          <w:bCs/>
        </w:rPr>
        <w:t xml:space="preserve">Buenas Condiciones Agrarias y Medioambientales (BCAM)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Prevé medidas de intercambio con terceros países: aranceles, contingentes, salvaguardias y certificados de importación o exportación.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3.3. Normativa voluntaria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Las normas </w:t>
      </w:r>
      <w:r>
        <w:rPr>
          <w:rFonts w:ascii="Cambria" w:hAnsi="Cambria"/>
          <w:b/>
          <w:bCs/>
        </w:rPr>
        <w:t xml:space="preserve">CEPE/UN</w:t>
      </w:r>
      <w:r>
        <w:rPr>
          <w:rFonts w:ascii="Cambria" w:hAnsi="Cambria"/>
        </w:rPr>
        <w:t xml:space="preserve">, elaboradas por el grupo de trabajo </w:t>
      </w:r>
      <w:r>
        <w:rPr>
          <w:rFonts w:ascii="Cambria" w:hAnsi="Cambria"/>
          <w:b/>
          <w:bCs/>
        </w:rPr>
        <w:t xml:space="preserve">WP7</w:t>
      </w:r>
      <w:r>
        <w:rPr>
          <w:rFonts w:ascii="Cambria" w:hAnsi="Cambria"/>
        </w:rPr>
        <w:t xml:space="preserve">, son voluntarias y sirven de base a las normas de comercialización. Para condimentos y especias tienen aplicación limitada, primando las normas </w:t>
      </w:r>
      <w:r>
        <w:rPr>
          <w:rFonts w:ascii="Cambria" w:hAnsi="Cambria"/>
          <w:b/>
          <w:bCs/>
        </w:rPr>
        <w:t xml:space="preserve">ISO</w:t>
      </w:r>
      <w:r>
        <w:rPr>
          <w:rFonts w:ascii="Cambria" w:hAnsi="Cambria"/>
        </w:rPr>
        <w:t xml:space="preserve"> específicas de cada especia.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Los folletos interpretativos de la </w:t>
      </w:r>
      <w:r>
        <w:rPr>
          <w:rFonts w:ascii="Cambria" w:hAnsi="Cambria"/>
          <w:b/>
          <w:bCs/>
        </w:rPr>
        <w:t xml:space="preserve">OCDE</w:t>
      </w:r>
      <w:r>
        <w:rPr>
          <w:rFonts w:ascii="Cambria" w:hAnsi="Cambria"/>
        </w:rPr>
        <w:t xml:space="preserve"> no aplican de forma general a este sector.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CODEX</w:t>
      </w:r>
      <w:r>
        <w:rPr>
          <w:rFonts w:ascii="Cambria" w:hAnsi="Cambria"/>
        </w:rPr>
        <w:t xml:space="preserve"> elabora normas voluntarias para proteger la salud del consumidor y el comercio justo, destacando el </w:t>
      </w:r>
      <w:r>
        <w:rPr>
          <w:rFonts w:ascii="Cambria" w:hAnsi="Cambria"/>
          <w:b/>
          <w:bCs/>
        </w:rPr>
        <w:t xml:space="preserve">Codex Stan 188-1993</w:t>
      </w:r>
      <w:r>
        <w:rPr>
          <w:rFonts w:ascii="Cambria" w:hAnsi="Cambria"/>
        </w:rPr>
        <w:t xml:space="preserve"> para el azafrán y la </w:t>
      </w:r>
      <w:r>
        <w:rPr>
          <w:rFonts w:ascii="Cambria" w:hAnsi="Cambria"/>
          <w:b/>
          <w:bCs/>
        </w:rPr>
        <w:t xml:space="preserve">ISO 3632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producción controlada</w:t>
      </w:r>
      <w:r>
        <w:rPr>
          <w:rFonts w:ascii="Cambria" w:hAnsi="Cambria"/>
        </w:rPr>
        <w:t xml:space="preserve"> se desarrolla mediante normas UNE de </w:t>
      </w:r>
      <w:r>
        <w:rPr>
          <w:rFonts w:ascii="Cambria" w:hAnsi="Cambria"/>
          <w:b/>
          <w:bCs/>
        </w:rPr>
        <w:t xml:space="preserve">AENOR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producción ecológica</w:t>
      </w:r>
      <w:r>
        <w:rPr>
          <w:rFonts w:ascii="Cambria" w:hAnsi="Cambria"/>
        </w:rPr>
        <w:t xml:space="preserve"> se rige por el </w:t>
      </w:r>
      <w:r>
        <w:rPr>
          <w:rFonts w:ascii="Cambria" w:hAnsi="Cambria"/>
          <w:b/>
          <w:bCs/>
        </w:rPr>
        <w:t xml:space="preserve">Reglamento (UE) 2018/848</w:t>
      </w:r>
      <w:r>
        <w:rPr>
          <w:rFonts w:ascii="Cambria" w:hAnsi="Cambria"/>
        </w:rPr>
        <w:t xml:space="preserve">, que exige desde 2023 a terceros países cumplir los estándares comunitarios. Ha sido modificado por el </w:t>
      </w:r>
      <w:r>
        <w:rPr>
          <w:rFonts w:ascii="Cambria" w:hAnsi="Cambria"/>
          <w:b/>
          <w:bCs/>
        </w:rPr>
        <w:t xml:space="preserve">Reglamento de Ejecución (UE) 2016/1842</w:t>
      </w:r>
      <w:r>
        <w:rPr>
          <w:rFonts w:ascii="Cambria" w:hAnsi="Cambria"/>
        </w:rPr>
        <w:t xml:space="preserve">, sobre certificado electrónico y controles del </w:t>
      </w:r>
      <w:r>
        <w:rPr>
          <w:rFonts w:ascii="Cambria" w:hAnsi="Cambria"/>
          <w:b/>
          <w:bCs/>
        </w:rPr>
        <w:t xml:space="preserve">SOIVRE</w:t>
      </w:r>
      <w:r>
        <w:rPr>
          <w:rFonts w:ascii="Cambria" w:hAnsi="Cambria"/>
        </w:rPr>
        <w:t xml:space="preserve">. Según la </w:t>
      </w:r>
      <w:r>
        <w:rPr>
          <w:rFonts w:ascii="Cambria" w:hAnsi="Cambria"/>
          <w:b/>
          <w:bCs/>
        </w:rPr>
        <w:t xml:space="preserve">Orden ECC/1936/2014</w:t>
      </w:r>
      <w:r>
        <w:rPr>
          <w:rFonts w:ascii="Cambria" w:hAnsi="Cambria"/>
        </w:rPr>
        <w:t xml:space="preserve">, el SOIVRE controla la importación de productos agrarios vivos o no transformados, transformados para alimentación humana, piensos, materiales de reproducción vegetativa y levaduras para consumo humano.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producción integrada</w:t>
      </w:r>
      <w:r>
        <w:rPr>
          <w:rFonts w:ascii="Cambria" w:hAnsi="Cambria"/>
        </w:rPr>
        <w:t xml:space="preserve"> se regula por el </w:t>
      </w:r>
      <w:r>
        <w:rPr>
          <w:rFonts w:ascii="Cambria" w:hAnsi="Cambria"/>
          <w:b/>
          <w:bCs/>
        </w:rPr>
        <w:t xml:space="preserve">Real Decreto 1201/2002</w:t>
      </w:r>
      <w:r>
        <w:rPr>
          <w:rFonts w:ascii="Cambria" w:hAnsi="Cambria"/>
        </w:rPr>
        <w:t xml:space="preserve">, con logotipo según la </w:t>
      </w:r>
      <w:r>
        <w:rPr>
          <w:rFonts w:ascii="Cambria" w:hAnsi="Cambria"/>
          <w:b/>
          <w:bCs/>
        </w:rPr>
        <w:t xml:space="preserve">Orden APA/1/2004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Las indicaciones </w:t>
      </w:r>
      <w:r>
        <w:rPr>
          <w:rFonts w:ascii="Cambria" w:hAnsi="Cambria"/>
          <w:b/>
          <w:bCs/>
        </w:rPr>
        <w:t xml:space="preserve">DOP, IGP y ETG</w:t>
      </w:r>
      <w:r>
        <w:rPr>
          <w:rFonts w:ascii="Cambria" w:hAnsi="Cambria"/>
        </w:rPr>
        <w:t xml:space="preserve"> se regulan por el </w:t>
      </w:r>
      <w:r>
        <w:rPr>
          <w:rFonts w:ascii="Cambria" w:hAnsi="Cambria"/>
          <w:b/>
          <w:bCs/>
        </w:rPr>
        <w:t xml:space="preserve">Reglamento (UE) 2024/1143</w:t>
      </w:r>
      <w:r>
        <w:rPr>
          <w:rFonts w:ascii="Cambria" w:hAnsi="Cambria"/>
        </w:rPr>
        <w:t xml:space="preserve">. La </w:t>
      </w:r>
      <w:r>
        <w:rPr>
          <w:rFonts w:ascii="Cambria" w:hAnsi="Cambria"/>
          <w:b/>
          <w:bCs/>
        </w:rPr>
        <w:t xml:space="preserve">Ley 6/2015</w:t>
      </w:r>
      <w:r>
        <w:rPr>
          <w:rFonts w:ascii="Cambria" w:hAnsi="Cambria"/>
        </w:rPr>
        <w:t xml:space="preserve"> encomienda a la </w:t>
      </w:r>
      <w:r>
        <w:rPr>
          <w:rFonts w:ascii="Cambria" w:hAnsi="Cambria"/>
          <w:b/>
          <w:bCs/>
        </w:rPr>
        <w:t xml:space="preserve">AICA</w:t>
      </w:r>
      <w:r>
        <w:rPr>
          <w:rFonts w:ascii="Cambria" w:hAnsi="Cambria"/>
        </w:rPr>
        <w:t xml:space="preserve"> los controles de comercialización (ej. DOP Pimentón de la Vera, DOP Azafrán de La Mancha, DOP Vinagre de Jerez).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3.4. Normativa específica del sector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176/2013</w:t>
      </w:r>
      <w:r>
        <w:rPr>
          <w:rFonts w:ascii="Cambria" w:hAnsi="Cambria"/>
        </w:rPr>
        <w:t xml:space="preserve">: RTS para elaboración, circulación y comercio de condimentos y especias, incluida la sal.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661/2012</w:t>
      </w:r>
      <w:r>
        <w:rPr>
          <w:rFonts w:ascii="Cambria" w:hAnsi="Cambria"/>
        </w:rPr>
        <w:t xml:space="preserve">: norma de calidad de los vinagres.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Azafrán: a nivel comunitario el </w:t>
      </w:r>
      <w:r>
        <w:rPr>
          <w:rFonts w:ascii="Cambria" w:hAnsi="Cambria"/>
          <w:b/>
          <w:bCs/>
        </w:rPr>
        <w:t xml:space="preserve">Reglamento (UE) 1308/2013</w:t>
      </w:r>
      <w:r>
        <w:rPr>
          <w:rFonts w:ascii="Cambria" w:hAnsi="Cambria"/>
        </w:rPr>
        <w:t xml:space="preserve">, a nivel de comercio exterior la </w:t>
      </w:r>
      <w:r>
        <w:rPr>
          <w:rFonts w:ascii="Cambria" w:hAnsi="Cambria"/>
          <w:b/>
          <w:bCs/>
        </w:rPr>
        <w:t xml:space="preserve">Orden ECC/2566/2015</w:t>
      </w:r>
      <w:r>
        <w:rPr>
          <w:rFonts w:ascii="Cambria" w:hAnsi="Cambria"/>
        </w:rPr>
        <w:t xml:space="preserve"> (tipos para exportación) y a nivel internacional la </w:t>
      </w:r>
      <w:r>
        <w:rPr>
          <w:rFonts w:ascii="Cambria" w:hAnsi="Cambria"/>
          <w:b/>
          <w:bCs/>
        </w:rPr>
        <w:t xml:space="preserve">ISO 3632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1021/2022</w:t>
      </w:r>
      <w:r>
        <w:rPr>
          <w:rFonts w:ascii="Cambria" w:hAnsi="Cambria"/>
        </w:rPr>
        <w:t xml:space="preserve">: requisitos higiénicos de platos preparados en comercio minorista.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609/2013</w:t>
      </w:r>
      <w:r>
        <w:rPr>
          <w:rFonts w:ascii="Cambria" w:hAnsi="Cambria"/>
        </w:rPr>
        <w:t xml:space="preserve">: alimentos para lactantes, usos médicos especiales y control de peso.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Normas de calidad nacionales remanentes: para caldos, consomés, sopas y cremas (Reglamento de 1984) y para salsas de mesa (</w:t>
      </w:r>
      <w:r>
        <w:rPr>
          <w:rFonts w:ascii="Cambria" w:hAnsi="Cambria"/>
          <w:b/>
          <w:bCs/>
        </w:rPr>
        <w:t xml:space="preserve">Real Decreto 858/1984</w:t>
      </w:r>
      <w:r>
        <w:rPr>
          <w:rFonts w:ascii="Cambria" w:hAnsi="Cambria"/>
        </w:rPr>
        <w:t xml:space="preserve">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Orden PRE/3026/2003</w:t>
      </w:r>
      <w:r>
        <w:rPr>
          <w:rFonts w:ascii="Cambria" w:hAnsi="Cambria"/>
        </w:rPr>
        <w:t xml:space="preserve">, modificada por la </w:t>
      </w:r>
      <w:r>
        <w:rPr>
          <w:rFonts w:ascii="Cambria" w:hAnsi="Cambria"/>
          <w:b/>
          <w:bCs/>
        </w:rPr>
        <w:t xml:space="preserve">Orden ECC/2257/2013</w:t>
      </w:r>
      <w:r>
        <w:rPr>
          <w:rFonts w:ascii="Cambria" w:hAnsi="Cambria"/>
        </w:rPr>
        <w:t xml:space="preserve"> y la </w:t>
      </w:r>
      <w:r>
        <w:rPr>
          <w:rFonts w:ascii="Cambria" w:hAnsi="Cambria"/>
          <w:b/>
          <w:bCs/>
        </w:rPr>
        <w:t xml:space="preserve">Orden ECC/2566/2015</w:t>
      </w:r>
      <w:r>
        <w:rPr>
          <w:rFonts w:ascii="Cambria" w:hAnsi="Cambria"/>
        </w:rPr>
        <w:t xml:space="preserve">, regula la inspección de la calidad comercial en comercio exterior. El </w:t>
      </w:r>
      <w:r>
        <w:rPr>
          <w:rFonts w:ascii="Cambria" w:hAnsi="Cambria"/>
          <w:b/>
          <w:bCs/>
        </w:rPr>
        <w:t xml:space="preserve">SOIVRE</w:t>
      </w:r>
      <w:r>
        <w:rPr>
          <w:rFonts w:ascii="Cambria" w:hAnsi="Cambria"/>
        </w:rPr>
        <w:t xml:space="preserve"> no controla la calidad comercial de los productos de este tema, salvo el azafrán, por su elevado riesgo de fraude de origen, mediante técnicas de </w:t>
      </w:r>
      <w:r>
        <w:rPr>
          <w:rFonts w:ascii="Cambria" w:hAnsi="Cambria"/>
          <w:b/>
          <w:bCs/>
        </w:rPr>
        <w:t xml:space="preserve">espectroscopía RMN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HPLC</w:t>
      </w:r>
      <w:r>
        <w:rPr>
          <w:rFonts w:ascii="Cambria" w:hAnsi="Cambria"/>
        </w:rPr>
        <w:t xml:space="preserve">, bajo pago de precios públicos.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3.5. Normativa general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175/2004</w:t>
      </w:r>
      <w:r>
        <w:rPr>
          <w:rFonts w:ascii="Cambria" w:hAnsi="Cambria"/>
        </w:rPr>
        <w:t xml:space="preserve">: designa a la Secretaría de Estado de Comercio como autoridad de los controles de las normas de comercialización.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(CE) 396/2005</w:t>
      </w:r>
      <w:r>
        <w:rPr>
          <w:rFonts w:ascii="Cambria" w:hAnsi="Cambria"/>
        </w:rPr>
        <w:t xml:space="preserve">: límites máximos de residuos de plaguicidas.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2023/915</w:t>
      </w:r>
      <w:r>
        <w:rPr>
          <w:rFonts w:ascii="Cambria" w:hAnsi="Cambria"/>
        </w:rPr>
        <w:t xml:space="preserve">: límites máximos de contaminantes en alimentos.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1169/2011</w:t>
      </w:r>
      <w:r>
        <w:rPr>
          <w:rFonts w:ascii="Cambria" w:hAnsi="Cambria"/>
        </w:rPr>
        <w:t xml:space="preserve">: información al consumidor, etiquetado general y nutricional.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1055/2022</w:t>
      </w:r>
      <w:r>
        <w:rPr>
          <w:rFonts w:ascii="Cambria" w:hAnsi="Cambria"/>
        </w:rPr>
        <w:t xml:space="preserve">: envases y residuos de envases.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Paquete de higiene: </w:t>
      </w:r>
      <w:r>
        <w:rPr>
          <w:rFonts w:ascii="Cambria" w:hAnsi="Cambria"/>
          <w:b/>
          <w:bCs/>
        </w:rPr>
        <w:t xml:space="preserve">Reglamentos (CE) 852/2004 y 853/2004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Reglamento (UE) 2017/625</w:t>
      </w:r>
      <w:r>
        <w:rPr>
          <w:rFonts w:ascii="Cambria" w:hAnsi="Cambria"/>
        </w:rPr>
        <w:t xml:space="preserve">, sobre controles oficiales de alimentos y piensos.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Ley 28/2015</w:t>
      </w:r>
      <w:r>
        <w:rPr>
          <w:rFonts w:ascii="Cambria" w:hAnsi="Cambria"/>
        </w:rPr>
        <w:t xml:space="preserve">: defensa de la calidad alimentaria, con régimen sancionador.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Ley 1/2025</w:t>
      </w:r>
      <w:r>
        <w:rPr>
          <w:rFonts w:ascii="Cambria" w:hAnsi="Cambria"/>
        </w:rPr>
        <w:t xml:space="preserve">: prevención de las pérdidas y el desperdicio alimentario.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4. CONCLUSIÓN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sector de condimentos, especias y platos preparados presenta heterogeneidad comercial. España mantiene superávit en pimentón, sal y vinagre, apoyado en denominaciones de origen como el </w:t>
      </w:r>
      <w:r>
        <w:rPr>
          <w:rFonts w:ascii="Cambria" w:hAnsi="Cambria"/>
          <w:b/>
          <w:bCs/>
        </w:rPr>
        <w:t xml:space="preserve">Pimentón de la Vera</w:t>
      </w:r>
      <w:r>
        <w:rPr>
          <w:rFonts w:ascii="Cambria" w:hAnsi="Cambria"/>
        </w:rPr>
        <w:t xml:space="preserve"> o el </w:t>
      </w:r>
      <w:r>
        <w:rPr>
          <w:rFonts w:ascii="Cambria" w:hAnsi="Cambria"/>
          <w:b/>
          <w:bCs/>
        </w:rPr>
        <w:t xml:space="preserve">Azafrán de La Mancha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Acuerdo UE-Mercosur</w:t>
      </w:r>
      <w:r>
        <w:rPr>
          <w:rFonts w:ascii="Cambria" w:hAnsi="Cambria"/>
        </w:rPr>
        <w:t xml:space="preserve"> podría facilitar el acceso de condimentos y especias procesadas desde Argentina, Brasil, Uruguay y Paraguay. El caso del azafrán, con caída de la cuota española del 50 % al 3 %, ilustra la vulnerabilidad frente a países de bajo coste.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En platos preparados, el mercado está dominado por multinacionales, y las pastas presentan déficit estructural frente a Italia. Los aranceles de la administración Trump de 2025 han afectado a las exportaciones de salsas y condimentos hacia EEUU.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consolidación del sector exige reforzar la calidad diferenciada, la certificación de origen y la exigencia de estándares equivalentes a los productos importados.</w:t>
      </w:r>
    </w:p>
    <w:sectPr w:rsidR="00A65383" w:rsidRPr="007114D7">
      <w:footerReference w:type="default" r:id="rId900"/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43E737" w14:textId="77777777" w:rsidR="00F85B76" w:rsidRDefault="00F85B76" w:rsidP="00F85B76">
      <w:pPr>
        <w:spacing w:after="0" w:line="240" w:lineRule="auto"/>
      </w:pPr>
      <w:r>
        <w:separator/>
      </w:r>
    </w:p>
  </w:endnote>
  <w:endnote w:type="continuationSeparator" w:id="0">
    <w:p w14:paraId="147C91B0" w14:textId="77777777" w:rsidR="00F85B76" w:rsidRDefault="00F85B76" w:rsidP="00F85B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er1.xml><?xml version="1.0" encoding="utf-8"?>
<w:ftr xmlns:w="http://schemas.openxmlformats.org/wordprocessingml/2006/main">
  <w:p>
    <w:pPr>
      <w:pStyle w:val="Piedepgina"/>
      <w:jc w:val="center"/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</w:pPr>
    <w:r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  <w:t>SERGIO ARGUDO SANTIAGO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8BA500" w14:textId="77777777" w:rsidR="00F85B76" w:rsidRDefault="00F85B76" w:rsidP="00F85B76">
      <w:pPr>
        <w:spacing w:after="0" w:line="240" w:lineRule="auto"/>
      </w:pPr>
      <w:r>
        <w:separator/>
      </w:r>
    </w:p>
  </w:footnote>
  <w:footnote w:type="continuationSeparator" w:id="0">
    <w:p w14:paraId="5EBB74E5" w14:textId="77777777" w:rsidR="00F85B76" w:rsidRDefault="00F85B76" w:rsidP="00F85B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Encabezado"/>
      <w:jc w:val="both"/>
      <w:rPr>
        <w:rFonts w:ascii="Palatino Linotype" w:hAnsi="Palatino Linotype"/>
        <w:i/>
        <w:iCs/>
      </w:rPr>
    </w:pPr>
    <w:r>
      <w:rPr>
        <w:rFonts w:ascii="Palatino Linotype" w:hAnsi="Palatino Linotype"/>
        <w:i/>
        <w:iCs/>
      </w:rPr>
      <w:t xml:space="preserve">TEMA 13 – Otros sectores agroalimentarios no incluidos en los temas anteriores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82A5E"/>
    <w:multiLevelType w:val="multilevel"/>
    <w:tmpl w:val="17686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BA086D"/>
    <w:multiLevelType w:val="multilevel"/>
    <w:tmpl w:val="C6368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764527"/>
    <w:multiLevelType w:val="multilevel"/>
    <w:tmpl w:val="4484D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B9671D"/>
    <w:multiLevelType w:val="multilevel"/>
    <w:tmpl w:val="FF7AB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145E70"/>
    <w:multiLevelType w:val="multilevel"/>
    <w:tmpl w:val="4CF84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082AA3"/>
    <w:multiLevelType w:val="multilevel"/>
    <w:tmpl w:val="E6004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E72879"/>
    <w:multiLevelType w:val="multilevel"/>
    <w:tmpl w:val="C3DA2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9A5A7F"/>
    <w:multiLevelType w:val="multilevel"/>
    <w:tmpl w:val="EE363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890683"/>
    <w:multiLevelType w:val="multilevel"/>
    <w:tmpl w:val="F0EAD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3F2D55"/>
    <w:multiLevelType w:val="multilevel"/>
    <w:tmpl w:val="BCE41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AC63FF"/>
    <w:multiLevelType w:val="multilevel"/>
    <w:tmpl w:val="10A62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9A721B"/>
    <w:multiLevelType w:val="multilevel"/>
    <w:tmpl w:val="9654A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E9D13DD"/>
    <w:multiLevelType w:val="multilevel"/>
    <w:tmpl w:val="88A6E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2984031">
    <w:abstractNumId w:val="7"/>
  </w:num>
  <w:num w:numId="2" w16cid:durableId="936329550">
    <w:abstractNumId w:val="4"/>
  </w:num>
  <w:num w:numId="3" w16cid:durableId="11223434">
    <w:abstractNumId w:val="0"/>
  </w:num>
  <w:num w:numId="4" w16cid:durableId="1698307743">
    <w:abstractNumId w:val="12"/>
  </w:num>
  <w:num w:numId="5" w16cid:durableId="1213886216">
    <w:abstractNumId w:val="11"/>
  </w:num>
  <w:num w:numId="6" w16cid:durableId="1037045334">
    <w:abstractNumId w:val="6"/>
  </w:num>
  <w:num w:numId="7" w16cid:durableId="638070075">
    <w:abstractNumId w:val="3"/>
  </w:num>
  <w:num w:numId="8" w16cid:durableId="616715768">
    <w:abstractNumId w:val="10"/>
  </w:num>
  <w:num w:numId="9" w16cid:durableId="1616985504">
    <w:abstractNumId w:val="9"/>
  </w:num>
  <w:num w:numId="10" w16cid:durableId="1055738181">
    <w:abstractNumId w:val="8"/>
  </w:num>
  <w:num w:numId="11" w16cid:durableId="928273277">
    <w:abstractNumId w:val="1"/>
  </w:num>
  <w:num w:numId="12" w16cid:durableId="919099836">
    <w:abstractNumId w:val="2"/>
  </w:num>
  <w:num w:numId="13" w16cid:durableId="5224786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B76"/>
    <w:rsid w:val="00457D88"/>
    <w:rsid w:val="005803BC"/>
    <w:rsid w:val="00600D28"/>
    <w:rsid w:val="00656837"/>
    <w:rsid w:val="006A0D39"/>
    <w:rsid w:val="007114D7"/>
    <w:rsid w:val="00975640"/>
    <w:rsid w:val="00A65383"/>
    <w:rsid w:val="00A8675C"/>
    <w:rsid w:val="00BB1DEC"/>
    <w:rsid w:val="00C12CFD"/>
    <w:rsid w:val="00D45530"/>
    <w:rsid w:val="00E15422"/>
    <w:rsid w:val="00E7657A"/>
    <w:rsid w:val="00EE6C5F"/>
    <w:rsid w:val="00F85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DAF6C1"/>
  <w15:chartTrackingRefBased/>
  <w15:docId w15:val="{B64D109C-3694-4C93-A841-AE8DEB4F80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85B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85B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85B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85B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85B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85B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85B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85B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85B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85B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85B7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85B7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85B7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85B7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85B7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85B7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85B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85B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85B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85B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85B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85B76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F85B7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85B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85B7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85B7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85B76"/>
  </w:style>
  <w:style w:type="paragraph" w:styleId="Piedepgina">
    <w:name w:val="footer"/>
    <w:basedOn w:val="Normal"/>
    <w:link w:val="Piedepgina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85B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90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6</Pages>
  <Words>1112</Words>
  <Characters>6119</Characters>
  <Application>Microsoft Office Word</Application>
  <DocSecurity>0</DocSecurity>
  <Lines>50</Lines>
  <Paragraphs>14</Paragraphs>
  <ScaleCrop>false</ScaleCrop>
  <Company/>
  <LinksUpToDate>false</LinksUpToDate>
  <CharactersWithSpaces>7217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9</cp:revision>
  <dcterms:created xsi:type="dcterms:W3CDTF">2025-11-21T17:54:00Z</dcterms:created>
  <dcterms:modified xsi:type="dcterms:W3CDTF">2026-01-14T14:24:00Z</dcterms:modified>
</cp:coreProperties>
</file>