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industrialización de los años 60 dejó una estructura productiva sesgada hacia sectores tradicionales intensivos en mano de obra, con fuerte dependencia energética y tecnológica y predominio de pymes.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entrada en la </w:t>
      </w:r>
      <w:r>
        <w:rPr>
          <w:rFonts w:ascii="Cambria" w:hAnsi="Cambria"/>
          <w:b/>
          <w:bCs/>
        </w:rPr>
        <w:t xml:space="preserve">CEE en 1986</w:t>
      </w:r>
      <w:r>
        <w:rPr>
          <w:rFonts w:ascii="Cambria" w:hAnsi="Cambria"/>
        </w:rPr>
        <w:t xml:space="preserve"> obligó a completar la reconversión industrial y a adaptarse al Mercado Único y a las políticas liberalizadoras.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sector secundario representa el </w:t>
      </w:r>
      <w:r>
        <w:rPr>
          <w:rFonts w:ascii="Cambria" w:hAnsi="Cambria"/>
          <w:b/>
          <w:bCs/>
        </w:rPr>
        <w:t xml:space="preserve">14,2 % del PIB</w:t>
      </w:r>
      <w:r>
        <w:rPr>
          <w:rFonts w:ascii="Cambria" w:hAnsi="Cambria"/>
        </w:rPr>
        <w:t xml:space="preserve">, el </w:t>
      </w:r>
      <w:r>
        <w:rPr>
          <w:rFonts w:ascii="Cambria" w:hAnsi="Cambria"/>
          <w:b/>
          <w:bCs/>
        </w:rPr>
        <w:t xml:space="preserve">15,6 % del VAB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11,4 % del empleo</w:t>
      </w:r>
      <w:r>
        <w:rPr>
          <w:rFonts w:ascii="Cambria" w:hAnsi="Cambria"/>
        </w:rPr>
        <w:t xml:space="preserve"> (Informe Anual 2025, SG de Estudios, Análisis y Planes de Actuación del MINTUR). Incluye minería, energía e industria transformadora (bienes intermedios, de equipo y de consumo).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dependencia energética exterior</w:t>
      </w:r>
      <w:r>
        <w:rPr>
          <w:rFonts w:ascii="Cambria" w:hAnsi="Cambria"/>
        </w:rPr>
        <w:t xml:space="preserve"> española ronda el </w:t>
      </w:r>
      <w:r>
        <w:rPr>
          <w:rFonts w:ascii="Cambria" w:hAnsi="Cambria"/>
          <w:b/>
          <w:bCs/>
        </w:rPr>
        <w:t xml:space="preserve">70 %</w:t>
      </w:r>
      <w:r>
        <w:rPr>
          <w:rFonts w:ascii="Cambria" w:hAnsi="Cambria"/>
        </w:rPr>
        <w:t xml:space="preserve">, por encima de la media UE, con fuerte peso de Argelia en gas y de Oriente Medio y África occidental en petróleo.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liberalización y privatización del sector energético (Repsol, Endesa, Hunosa) ha respondido a la adhesión a la UE, la revisión del concepto de monopolio natural y la insostenibilidad presupuestaria de las ayudas públicas.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</w:t>
      </w:r>
      <w:r>
        <w:rPr>
          <w:rFonts w:ascii="Cambria" w:hAnsi="Cambria"/>
          <w:b/>
          <w:bCs/>
        </w:rPr>
        <w:t xml:space="preserve">DATACOMEX 2025</w:t>
      </w:r>
      <w:r>
        <w:rPr>
          <w:rFonts w:ascii="Cambria" w:hAnsi="Cambria"/>
        </w:rPr>
        <w:t xml:space="preserve">, el balance energético arroja un déficit de </w:t>
      </w:r>
      <w:r>
        <w:rPr>
          <w:rFonts w:ascii="Cambria" w:hAnsi="Cambria"/>
          <w:b/>
          <w:bCs/>
        </w:rPr>
        <w:t xml:space="preserve">29.292 M€</w:t>
      </w:r>
      <w:r>
        <w:rPr>
          <w:rFonts w:ascii="Cambria" w:hAnsi="Cambria"/>
        </w:rPr>
        <w:t xml:space="preserve"> (importaciones </w:t>
      </w:r>
      <w:r>
        <w:rPr>
          <w:rFonts w:ascii="Cambria" w:hAnsi="Cambria"/>
          <w:b/>
          <w:bCs/>
        </w:rPr>
        <w:t xml:space="preserve">53.528 M€</w:t>
      </w:r>
      <w:r>
        <w:rPr>
          <w:rFonts w:ascii="Cambria" w:hAnsi="Cambria"/>
        </w:rPr>
        <w:t xml:space="preserve">, exportaciones </w:t>
      </w:r>
      <w:r>
        <w:rPr>
          <w:rFonts w:ascii="Cambria" w:hAnsi="Cambria"/>
          <w:b/>
          <w:bCs/>
        </w:rPr>
        <w:t xml:space="preserve">24.236 M€</w:t>
      </w:r>
      <w:r>
        <w:rPr>
          <w:rFonts w:ascii="Cambria" w:hAnsi="Cambria"/>
        </w:rPr>
        <w:t xml:space="preserve">).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LEGISLACIÓN GENERAL DEL SECTOR INDUSTRIAL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Competencia normativa de la Subdirección General de Calidad y Seguridad Industrial del MINTUR.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21/1992, de Industria</w:t>
      </w:r>
      <w:r>
        <w:rPr>
          <w:rFonts w:ascii="Cambria" w:hAnsi="Cambria"/>
        </w:rPr>
        <w:t xml:space="preserve">: adapta la actividad industrial a la normativa UE y al Mercado Único.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559/2010</w:t>
      </w:r>
      <w:r>
        <w:rPr>
          <w:rFonts w:ascii="Cambria" w:hAnsi="Cambria"/>
        </w:rPr>
        <w:t xml:space="preserve">: Reglamento del Registro Integrado Industrial.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1072/2015</w:t>
      </w:r>
      <w:r>
        <w:rPr>
          <w:rFonts w:ascii="Cambria" w:hAnsi="Cambria"/>
        </w:rPr>
        <w:t xml:space="preserve">: Reglamento de la Infraestructura para la Calidad y la Seguridad Industrial, con </w:t>
      </w:r>
      <w:r>
        <w:rPr>
          <w:rFonts w:ascii="Cambria" w:hAnsi="Cambria"/>
          <w:b/>
          <w:bCs/>
        </w:rPr>
        <w:t xml:space="preserve">AENOR</w:t>
      </w:r>
      <w:r>
        <w:rPr>
          <w:rFonts w:ascii="Cambria" w:hAnsi="Cambria"/>
        </w:rPr>
        <w:t xml:space="preserve"> como normalización y </w:t>
      </w:r>
      <w:r>
        <w:rPr>
          <w:rFonts w:ascii="Cambria" w:hAnsi="Cambria"/>
          <w:b/>
          <w:bCs/>
        </w:rPr>
        <w:t xml:space="preserve">ENAC</w:t>
      </w:r>
      <w:r>
        <w:rPr>
          <w:rFonts w:ascii="Cambria" w:hAnsi="Cambria"/>
        </w:rPr>
        <w:t xml:space="preserve"> como acreditación.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1468/1988</w:t>
      </w:r>
      <w:r>
        <w:rPr>
          <w:rFonts w:ascii="Cambria" w:hAnsi="Cambria"/>
        </w:rPr>
        <w:t xml:space="preserve">, de Etiquetado, Presentación y Publicidad de los Productos Industriales: exige etiquetado real y veraz con datos mínimos (denominación, composición, contenido neto, lote, origen, etc.).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1406/1989</w:t>
      </w:r>
      <w:r>
        <w:rPr>
          <w:rFonts w:ascii="Cambria" w:hAnsi="Cambria"/>
        </w:rPr>
        <w:t xml:space="preserve">: limita sustancias peligrosas (benceno, amianto, dimetilfumarato, pentaclorofenol) y prohíbe termómetros de mercurio desde 2009.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330/2008</w:t>
      </w:r>
      <w:r>
        <w:rPr>
          <w:rFonts w:ascii="Cambria" w:hAnsi="Cambria"/>
        </w:rPr>
        <w:t xml:space="preserve">: control de importación por seguridad vía </w:t>
      </w: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, a partir de riesgos detectados por </w:t>
      </w:r>
      <w:r>
        <w:rPr>
          <w:rFonts w:ascii="Cambria" w:hAnsi="Cambria"/>
          <w:b/>
          <w:bCs/>
        </w:rPr>
        <w:t xml:space="preserve">RAPEX</w:t>
      </w:r>
      <w:r>
        <w:rPr>
          <w:rFonts w:ascii="Cambria" w:hAnsi="Cambria"/>
        </w:rPr>
        <w:t xml:space="preserve">. La </w:t>
      </w:r>
      <w:r>
        <w:rPr>
          <w:rFonts w:ascii="Cambria" w:hAnsi="Cambria"/>
          <w:b/>
          <w:bCs/>
        </w:rPr>
        <w:t xml:space="preserve">Orden PJC/161/2026</w:t>
      </w:r>
      <w:r>
        <w:rPr>
          <w:rFonts w:ascii="Cambria" w:hAnsi="Cambria"/>
        </w:rPr>
        <w:t xml:space="preserve"> fija los productos sujetos (drones, puericultura, textil, calzado, juguetes, EPIs, etc.), ampliada por el </w:t>
      </w:r>
      <w:r>
        <w:rPr>
          <w:rFonts w:ascii="Cambria" w:hAnsi="Cambria"/>
          <w:b/>
          <w:bCs/>
        </w:rPr>
        <w:t xml:space="preserve">Real Decreto 993/2022</w:t>
      </w:r>
      <w:r>
        <w:rPr>
          <w:rFonts w:ascii="Cambria" w:hAnsi="Cambria"/>
        </w:rPr>
        <w:t xml:space="preserve"> a AEE y pilas (RoHS).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765/2008</w:t>
      </w:r>
      <w:r>
        <w:rPr>
          <w:rFonts w:ascii="Cambria" w:hAnsi="Cambria"/>
        </w:rPr>
        <w:t xml:space="preserve">: acreditación y marcado CE para productos de Nuevo Enfoque.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2019/1020</w:t>
      </w:r>
      <w:r>
        <w:rPr>
          <w:rFonts w:ascii="Cambria" w:hAnsi="Cambria"/>
        </w:rPr>
        <w:t xml:space="preserve">: vigilancia de mercado y conformidad de productos de terceros países.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2019/515</w:t>
      </w:r>
      <w:r>
        <w:rPr>
          <w:rFonts w:ascii="Cambria" w:hAnsi="Cambria"/>
        </w:rPr>
        <w:t xml:space="preserve">: reconocimiento mutuo de mercancías legalmente comercializadas en otro Estado miembro.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Decisión 768/2008/CE</w:t>
      </w:r>
      <w:r>
        <w:rPr>
          <w:rFonts w:ascii="Cambria" w:hAnsi="Cambria"/>
        </w:rPr>
        <w:t xml:space="preserve">: marco común de comercialización, base del Nuevo Marco Legislativo.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2023/988 (RGSP)</w:t>
      </w:r>
      <w:r>
        <w:rPr>
          <w:rFonts w:ascii="Cambria" w:hAnsi="Cambria"/>
        </w:rPr>
        <w:t xml:space="preserve">: sustituye a la Directiva 2001/95/CE, de aplicación directa desde el 13 de diciembre de 2024, refuerza el sistema </w:t>
      </w:r>
      <w:r>
        <w:rPr>
          <w:rFonts w:ascii="Cambria" w:hAnsi="Cambria"/>
          <w:b/>
          <w:bCs/>
        </w:rPr>
        <w:t xml:space="preserve">Safety Gate</w:t>
      </w:r>
      <w:r>
        <w:rPr>
          <w:rFonts w:ascii="Cambria" w:hAnsi="Cambria"/>
        </w:rPr>
        <w:t xml:space="preserve"> (antes RAPEX).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1907/2006 – REACH</w:t>
      </w:r>
      <w:r>
        <w:rPr>
          <w:rFonts w:ascii="Cambria" w:hAnsi="Cambria"/>
        </w:rPr>
        <w:t xml:space="preserve">: sustancias y mezclas químicas, restricciones en el Anexo XVII, crea la </w:t>
      </w:r>
      <w:r>
        <w:rPr>
          <w:rFonts w:ascii="Cambria" w:hAnsi="Cambria"/>
          <w:b/>
          <w:bCs/>
        </w:rPr>
        <w:t xml:space="preserve">ECHA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2023/2411</w:t>
      </w:r>
      <w:r>
        <w:rPr>
          <w:rFonts w:ascii="Cambria" w:hAnsi="Cambria"/>
        </w:rPr>
        <w:t xml:space="preserve">: indicaciones geográficas de productos artesanales e industriales no alimentarios, aplicable desde 2025.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SECTOR DE LOS PRODUCTOS ENERGÉTICOS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energía primaria se produce en origen y la secundaria resulta de su transformación. Se distingue entre fuentes renovables y no renovables.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3.1. Petróleo y derivados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Mezcla de hidrocarburos que requiere destilación fraccionada. Derivados: GLP, gasolinas, queroseno, diésel, fuel oil, coque y shale-oil.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Producción mundial (</w:t>
      </w:r>
      <w:r>
        <w:rPr>
          <w:rFonts w:ascii="Cambria" w:hAnsi="Cambria"/>
          <w:b/>
          <w:bCs/>
        </w:rPr>
        <w:t xml:space="preserve">CORES 2024</w:t>
      </w:r>
      <w:r>
        <w:rPr>
          <w:rFonts w:ascii="Cambria" w:hAnsi="Cambria"/>
        </w:rPr>
        <w:t xml:space="preserve">): </w:t>
      </w:r>
      <w:r>
        <w:rPr>
          <w:rFonts w:ascii="Cambria" w:hAnsi="Cambria"/>
          <w:b/>
          <w:bCs/>
        </w:rPr>
        <w:t xml:space="preserve">102,5 millones de barriles/día</w:t>
      </w:r>
      <w:r>
        <w:rPr>
          <w:rFonts w:ascii="Cambria" w:hAnsi="Cambria"/>
        </w:rPr>
        <w:t xml:space="preserve">, liderada por EEUU (13,2 Mb/d, shale oil), Arabia Saudí y Rusia (~9,0 Mb/d). Reservas probadas: </w:t>
      </w:r>
      <w:r>
        <w:rPr>
          <w:rFonts w:ascii="Cambria" w:hAnsi="Cambria"/>
          <w:b/>
          <w:bCs/>
        </w:rPr>
        <w:t xml:space="preserve">1.700.000 millones de barriles</w:t>
      </w:r>
      <w:r>
        <w:rPr>
          <w:rFonts w:ascii="Cambria" w:hAnsi="Cambria"/>
        </w:rPr>
        <w:t xml:space="preserve">, encabezadas por Venezuela (~19 %). Ratio reservas/producción: </w:t>
      </w:r>
      <w:r>
        <w:rPr>
          <w:rFonts w:ascii="Cambria" w:hAnsi="Cambria"/>
          <w:b/>
          <w:bCs/>
        </w:rPr>
        <w:t xml:space="preserve">46 años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Producción nacional testimonial (Burgos y Tarragona, campos de Casablanca. Concesión de Viura, petróleo condensado).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petróleo supone el </w:t>
      </w:r>
      <w:r>
        <w:rPr>
          <w:rFonts w:ascii="Cambria" w:hAnsi="Cambria"/>
          <w:b/>
          <w:bCs/>
        </w:rPr>
        <w:t xml:space="preserve">74,8 %</w:t>
      </w:r>
      <w:r>
        <w:rPr>
          <w:rFonts w:ascii="Cambria" w:hAnsi="Cambria"/>
        </w:rPr>
        <w:t xml:space="preserve"> del valor de las importaciones energéticas en 2025, con déficit comercial estructural. Importaciones de EEUU, Brasil, México, Nigeria y Arabia Saudí.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Normativa: </w:t>
      </w:r>
      <w:r>
        <w:rPr>
          <w:rFonts w:ascii="Cambria" w:hAnsi="Cambria"/>
          <w:b/>
          <w:bCs/>
        </w:rPr>
        <w:t xml:space="preserve">Ley 34/1998 (LSH)</w:t>
      </w:r>
      <w:r>
        <w:rPr>
          <w:rFonts w:ascii="Cambria" w:hAnsi="Cambria"/>
        </w:rPr>
        <w:t xml:space="preserve">, marco general, </w:t>
      </w:r>
      <w:r>
        <w:rPr>
          <w:rFonts w:ascii="Cambria" w:hAnsi="Cambria"/>
          <w:b/>
          <w:bCs/>
        </w:rPr>
        <w:t xml:space="preserve">Ley 12/2007</w:t>
      </w:r>
      <w:r>
        <w:rPr>
          <w:rFonts w:ascii="Cambria" w:hAnsi="Cambria"/>
        </w:rPr>
        <w:t xml:space="preserve">, liberaliza precios y estaciones de servicio, </w:t>
      </w:r>
      <w:r>
        <w:rPr>
          <w:rFonts w:ascii="Cambria" w:hAnsi="Cambria"/>
          <w:b/>
          <w:bCs/>
        </w:rPr>
        <w:t xml:space="preserve">Ley 3/2013</w:t>
      </w:r>
      <w:r>
        <w:rPr>
          <w:rFonts w:ascii="Cambria" w:hAnsi="Cambria"/>
        </w:rPr>
        <w:t xml:space="preserve">, crea la </w:t>
      </w:r>
      <w:r>
        <w:rPr>
          <w:rFonts w:ascii="Cambria" w:hAnsi="Cambria"/>
          <w:b/>
          <w:bCs/>
        </w:rPr>
        <w:t xml:space="preserve">CNMC</w:t>
      </w:r>
      <w:r>
        <w:rPr>
          <w:rFonts w:ascii="Cambria" w:hAnsi="Cambria"/>
        </w:rPr>
        <w:t xml:space="preserve"> (Estatuto por </w:t>
      </w:r>
      <w:r>
        <w:rPr>
          <w:rFonts w:ascii="Cambria" w:hAnsi="Cambria"/>
          <w:b/>
          <w:bCs/>
        </w:rPr>
        <w:t xml:space="preserve">RD 657/2013</w:t>
      </w:r>
      <w:r>
        <w:rPr>
          <w:rFonts w:ascii="Cambria" w:hAnsi="Cambria"/>
        </w:rPr>
        <w:t xml:space="preserve">), </w:t>
      </w:r>
      <w:r>
        <w:rPr>
          <w:rFonts w:ascii="Cambria" w:hAnsi="Cambria"/>
          <w:b/>
          <w:bCs/>
        </w:rPr>
        <w:t xml:space="preserve">Ley 11/2013</w:t>
      </w:r>
      <w:r>
        <w:rPr>
          <w:rFonts w:ascii="Cambria" w:hAnsi="Cambria"/>
        </w:rPr>
        <w:t xml:space="preserve">, de apoyo al emprendedor, </w:t>
      </w:r>
      <w:r>
        <w:rPr>
          <w:rFonts w:ascii="Cambria" w:hAnsi="Cambria"/>
          <w:b/>
          <w:bCs/>
        </w:rPr>
        <w:t xml:space="preserve">Directiva 98/70/CE</w:t>
      </w:r>
      <w:r>
        <w:rPr>
          <w:rFonts w:ascii="Cambria" w:hAnsi="Cambria"/>
        </w:rPr>
        <w:t xml:space="preserve">, calidad de carburantes y prohibición de gasolina con plomo desde 2000, modificada por la </w:t>
      </w:r>
      <w:r>
        <w:rPr>
          <w:rFonts w:ascii="Cambria" w:hAnsi="Cambria"/>
          <w:b/>
          <w:bCs/>
        </w:rPr>
        <w:t xml:space="preserve">Directiva 2015/1513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Directiva (UE) 2023/959</w:t>
      </w:r>
      <w:r>
        <w:rPr>
          <w:rFonts w:ascii="Cambria" w:hAnsi="Cambria"/>
        </w:rPr>
        <w:t xml:space="preserve">, refuerza el ETS, </w:t>
      </w:r>
      <w:r>
        <w:rPr>
          <w:rFonts w:ascii="Cambria" w:hAnsi="Cambria"/>
          <w:b/>
          <w:bCs/>
        </w:rPr>
        <w:t xml:space="preserve">Reglamento (UE) 2023/1805 – FuelEU Maritime</w:t>
      </w:r>
      <w:r>
        <w:rPr>
          <w:rFonts w:ascii="Cambria" w:hAnsi="Cambria"/>
        </w:rPr>
        <w:t xml:space="preserve">, reduce hasta un 80 % la intensidad de GEI marítima en 2050.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3.2. Gas natural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Mezcla gaseosa con predominio de metano (70-90 %). Tipos: gases manufacturados, GLP, gas natural (GNL o gasoducto) y shale-gas.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Destaca el </w:t>
      </w:r>
      <w:r>
        <w:rPr>
          <w:rFonts w:ascii="Cambria" w:hAnsi="Cambria"/>
          <w:b/>
          <w:bCs/>
        </w:rPr>
        <w:t xml:space="preserve">hidrógeno verde</w:t>
      </w:r>
      <w:r>
        <w:rPr>
          <w:rFonts w:ascii="Cambria" w:hAnsi="Cambria"/>
        </w:rPr>
        <w:t xml:space="preserve">, impulsado por la Estrategia de Hidrógeno UE (2020) y la Estrategia Española de Hidrógeno (2023).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cuenta con </w:t>
      </w:r>
      <w:r>
        <w:rPr>
          <w:rFonts w:ascii="Cambria" w:hAnsi="Cambria"/>
          <w:b/>
          <w:bCs/>
        </w:rPr>
        <w:t xml:space="preserve">seis plantas de regasificación</w:t>
      </w:r>
      <w:r>
        <w:rPr>
          <w:rFonts w:ascii="Cambria" w:hAnsi="Cambria"/>
        </w:rPr>
        <w:t xml:space="preserve">, la mayor red europea. </w:t>
      </w:r>
      <w:r>
        <w:rPr>
          <w:rFonts w:ascii="Cambria" w:hAnsi="Cambria"/>
          <w:b/>
          <w:bCs/>
        </w:rPr>
        <w:t xml:space="preserve">Enagás</w:t>
      </w:r>
      <w:r>
        <w:rPr>
          <w:rFonts w:ascii="Cambria" w:hAnsi="Cambria"/>
        </w:rPr>
        <w:t xml:space="preserve"> gestiona el transporte e importa, </w:t>
      </w:r>
      <w:r>
        <w:rPr>
          <w:rFonts w:ascii="Cambria" w:hAnsi="Cambria"/>
          <w:b/>
          <w:bCs/>
        </w:rPr>
        <w:t xml:space="preserve">Naturgy</w:t>
      </w:r>
      <w:r>
        <w:rPr>
          <w:rFonts w:ascii="Cambria" w:hAnsi="Cambria"/>
        </w:rPr>
        <w:t xml:space="preserve"> distribuye. El Proyecto Castor fue anulado por el TC en 2017 por sismicidad inducida.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Producción mundial (</w:t>
      </w:r>
      <w:r>
        <w:rPr>
          <w:rFonts w:ascii="Cambria" w:hAnsi="Cambria"/>
          <w:b/>
          <w:bCs/>
        </w:rPr>
        <w:t xml:space="preserve">CORES 2024</w:t>
      </w:r>
      <w:r>
        <w:rPr>
          <w:rFonts w:ascii="Cambria" w:hAnsi="Cambria"/>
        </w:rPr>
        <w:t xml:space="preserve">): </w:t>
      </w:r>
      <w:r>
        <w:rPr>
          <w:rFonts w:ascii="Cambria" w:hAnsi="Cambria"/>
          <w:b/>
          <w:bCs/>
        </w:rPr>
        <w:t xml:space="preserve">4.100.000 millones de m³</w:t>
      </w:r>
      <w:r>
        <w:rPr>
          <w:rFonts w:ascii="Cambria" w:hAnsi="Cambria"/>
        </w:rPr>
        <w:t xml:space="preserve">, liderada por EEUU (~1.040 bcm), Rusia y Argelia como principal suministrador a España. Reservas: </w:t>
      </w:r>
      <w:r>
        <w:rPr>
          <w:rFonts w:ascii="Cambria" w:hAnsi="Cambria"/>
          <w:b/>
          <w:bCs/>
        </w:rPr>
        <w:t xml:space="preserve">197 billones de m³</w:t>
      </w:r>
      <w:r>
        <w:rPr>
          <w:rFonts w:ascii="Cambria" w:hAnsi="Cambria"/>
        </w:rPr>
        <w:t xml:space="preserve">, con Rusia al frente (24 %). Ratio reservas/producción: </w:t>
      </w:r>
      <w:r>
        <w:rPr>
          <w:rFonts w:ascii="Cambria" w:hAnsi="Cambria"/>
          <w:b/>
          <w:bCs/>
        </w:rPr>
        <w:t xml:space="preserve">49 años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Producción nacional casi íntegra en Viura (La Rioja, ~91 %) y Cádiz. Déficit comercial (</w:t>
      </w:r>
      <w:r>
        <w:rPr>
          <w:rFonts w:ascii="Cambria" w:hAnsi="Cambria"/>
          <w:b/>
          <w:bCs/>
        </w:rPr>
        <w:t xml:space="preserve">21,7 %</w:t>
      </w:r>
      <w:r>
        <w:rPr>
          <w:rFonts w:ascii="Cambria" w:hAnsi="Cambria"/>
        </w:rPr>
        <w:t xml:space="preserve"> de importaciones energéticas), con EEUU como primer origen.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Normativa: </w:t>
      </w:r>
      <w:r>
        <w:rPr>
          <w:rFonts w:ascii="Cambria" w:hAnsi="Cambria"/>
          <w:b/>
          <w:bCs/>
        </w:rPr>
        <w:t xml:space="preserve">Ley 34/1998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Ley 12/2007</w:t>
      </w:r>
      <w:r>
        <w:rPr>
          <w:rFonts w:ascii="Cambria" w:hAnsi="Cambria"/>
        </w:rPr>
        <w:t xml:space="preserve">, liberalización total en 2013, </w:t>
      </w:r>
      <w:r>
        <w:rPr>
          <w:rFonts w:ascii="Cambria" w:hAnsi="Cambria"/>
          <w:b/>
          <w:bCs/>
        </w:rPr>
        <w:t xml:space="preserve">Directiva 2009/73/CE</w:t>
      </w:r>
      <w:r>
        <w:rPr>
          <w:rFonts w:ascii="Cambria" w:hAnsi="Cambria"/>
        </w:rPr>
        <w:t xml:space="preserve">, mercado interior de gas, </w:t>
      </w:r>
      <w:r>
        <w:rPr>
          <w:rFonts w:ascii="Cambria" w:hAnsi="Cambria"/>
          <w:b/>
          <w:bCs/>
        </w:rPr>
        <w:t xml:space="preserve">Reglamento (UE) 2024/1789 – Gas Package 2024</w:t>
      </w:r>
      <w:r>
        <w:rPr>
          <w:rFonts w:ascii="Cambria" w:hAnsi="Cambria"/>
        </w:rPr>
        <w:t xml:space="preserve">, reforma del mercado de gas e hidrógeno, Plan de Descarbonización del Gas (MITECO, 2023).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3.3. Carbón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Roca combustible sedimentaria: hulla, antracita, lignito negro y lignito pardo.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Producción española concentrada en Castilla y León y Asturias (Hunosa), cierre de minas no competitivas en 2018-2019 (Plan de Carbón 2013-2018) y de la última central térmica en 2020.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Demanda mundial en máximo histórico en 2024 (+2,3 %), con China e India concentrando el 71 % del consumo. Reservas: horizonte de </w:t>
      </w:r>
      <w:r>
        <w:rPr>
          <w:rFonts w:ascii="Cambria" w:hAnsi="Cambria"/>
          <w:b/>
          <w:bCs/>
        </w:rPr>
        <w:t xml:space="preserve">130 años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Déficit comercial español, con el carbón representando el </w:t>
      </w:r>
      <w:r>
        <w:rPr>
          <w:rFonts w:ascii="Cambria" w:hAnsi="Cambria"/>
          <w:b/>
          <w:bCs/>
        </w:rPr>
        <w:t xml:space="preserve">1,1 %</w:t>
      </w:r>
      <w:r>
        <w:rPr>
          <w:rFonts w:ascii="Cambria" w:hAnsi="Cambria"/>
        </w:rPr>
        <w:t xml:space="preserve"> de las importaciones (-38 % en 2025). Importaciones de EEUU, Colombia y Australia.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Normativa: </w:t>
      </w:r>
      <w:r>
        <w:rPr>
          <w:rFonts w:ascii="Cambria" w:hAnsi="Cambria"/>
          <w:b/>
          <w:bCs/>
        </w:rPr>
        <w:t xml:space="preserve">Reglamento (CE) 1407/2002</w:t>
      </w:r>
      <w:r>
        <w:rPr>
          <w:rFonts w:ascii="Cambria" w:hAnsi="Cambria"/>
        </w:rPr>
        <w:t xml:space="preserve">, ayudas estatales, </w:t>
      </w:r>
      <w:r>
        <w:rPr>
          <w:rFonts w:ascii="Cambria" w:hAnsi="Cambria"/>
          <w:b/>
          <w:bCs/>
        </w:rPr>
        <w:t xml:space="preserve">Decisión 2010/787/UE</w:t>
      </w:r>
      <w:r>
        <w:rPr>
          <w:rFonts w:ascii="Cambria" w:hAnsi="Cambria"/>
        </w:rPr>
        <w:t xml:space="preserve">, cierre de minas no competitivas, Acuerdo Marco para una Transición Justa 2019-2027, </w:t>
      </w:r>
      <w:r>
        <w:rPr>
          <w:rFonts w:ascii="Cambria" w:hAnsi="Cambria"/>
          <w:b/>
          <w:bCs/>
        </w:rPr>
        <w:t xml:space="preserve">Real Decreto 2020/1997</w:t>
      </w:r>
      <w:r>
        <w:rPr>
          <w:rFonts w:ascii="Cambria" w:hAnsi="Cambria"/>
        </w:rPr>
        <w:t xml:space="preserve">, reestructuración minera, </w:t>
      </w:r>
      <w:r>
        <w:rPr>
          <w:rFonts w:ascii="Cambria" w:hAnsi="Cambria"/>
          <w:b/>
          <w:bCs/>
        </w:rPr>
        <w:t xml:space="preserve">Reglamento (UE) 2023/956 – CBAM</w:t>
      </w:r>
      <w:r>
        <w:rPr>
          <w:rFonts w:ascii="Cambria" w:hAnsi="Cambria"/>
        </w:rPr>
        <w:t xml:space="preserve">, aplicable al carbón desde 2026.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3.4. Electricidad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Actividades: generación, transmisión (</w:t>
      </w:r>
      <w:r>
        <w:rPr>
          <w:rFonts w:ascii="Cambria" w:hAnsi="Cambria"/>
          <w:b/>
          <w:bCs/>
        </w:rPr>
        <w:t xml:space="preserve">REE</w:t>
      </w:r>
      <w:r>
        <w:rPr>
          <w:rFonts w:ascii="Cambria" w:hAnsi="Cambria"/>
        </w:rPr>
        <w:t xml:space="preserve">), distribución y comercialización.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2024 las renovables superaron el </w:t>
      </w:r>
      <w:r>
        <w:rPr>
          <w:rFonts w:ascii="Cambria" w:hAnsi="Cambria"/>
          <w:b/>
          <w:bCs/>
        </w:rPr>
        <w:t xml:space="preserve">50 %</w:t>
      </w:r>
      <w:r>
        <w:rPr>
          <w:rFonts w:ascii="Cambria" w:hAnsi="Cambria"/>
        </w:rPr>
        <w:t xml:space="preserve"> de la generación española, con eólica (~23 %), nuclear (~20 %) y solar fotovoltaica (~17 %) como principales fuentes.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 nivel mundial, las fuentes bajas en emisiones alcanzaron el </w:t>
      </w:r>
      <w:r>
        <w:rPr>
          <w:rFonts w:ascii="Cambria" w:hAnsi="Cambria"/>
          <w:b/>
          <w:bCs/>
        </w:rPr>
        <w:t xml:space="preserve">40,9 %</w:t>
      </w:r>
      <w:r>
        <w:rPr>
          <w:rFonts w:ascii="Cambria" w:hAnsi="Cambria"/>
        </w:rPr>
        <w:t xml:space="preserve"> de la generación en 2024 (Global Electricity Review 2025, Ember).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Comercio exterior español superavitario en 2025, con importaciones de Portugal y Francia y exportaciones hacia Portugal y Marruecos.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Normativa: </w:t>
      </w:r>
      <w:r>
        <w:rPr>
          <w:rFonts w:ascii="Cambria" w:hAnsi="Cambria"/>
          <w:b/>
          <w:bCs/>
        </w:rPr>
        <w:t xml:space="preserve">Ley 54/1997</w:t>
      </w:r>
      <w:r>
        <w:rPr>
          <w:rFonts w:ascii="Cambria" w:hAnsi="Cambria"/>
        </w:rPr>
        <w:t xml:space="preserve">, liberalización y separación de actividades reguladas, paquete liberalizador de julio de 2000, crea el pool gestionado por </w:t>
      </w:r>
      <w:r>
        <w:rPr>
          <w:rFonts w:ascii="Cambria" w:hAnsi="Cambria"/>
          <w:b/>
          <w:bCs/>
        </w:rPr>
        <w:t xml:space="preserve">OMIE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Ley 24/2013</w:t>
      </w:r>
      <w:r>
        <w:rPr>
          <w:rFonts w:ascii="Cambria" w:hAnsi="Cambria"/>
        </w:rPr>
        <w:t xml:space="preserve">, del Sector Eléctrico, </w:t>
      </w:r>
      <w:r>
        <w:rPr>
          <w:rFonts w:ascii="Cambria" w:hAnsi="Cambria"/>
          <w:b/>
          <w:bCs/>
        </w:rPr>
        <w:t xml:space="preserve">Ley 7/2021</w:t>
      </w:r>
      <w:r>
        <w:rPr>
          <w:rFonts w:ascii="Cambria" w:hAnsi="Cambria"/>
        </w:rPr>
        <w:t xml:space="preserve">, de Cambio Climático y Transición Energética, </w:t>
      </w:r>
      <w:r>
        <w:rPr>
          <w:rFonts w:ascii="Cambria" w:hAnsi="Cambria"/>
          <w:b/>
          <w:bCs/>
        </w:rPr>
        <w:t xml:space="preserve">Real Decreto-ley 17/2021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17/2022</w:t>
      </w:r>
      <w:r>
        <w:rPr>
          <w:rFonts w:ascii="Cambria" w:hAnsi="Cambria"/>
        </w:rPr>
        <w:t xml:space="preserve">, excepción ibérica, </w:t>
      </w:r>
      <w:r>
        <w:rPr>
          <w:rFonts w:ascii="Cambria" w:hAnsi="Cambria"/>
          <w:b/>
          <w:bCs/>
        </w:rPr>
        <w:t xml:space="preserve">Real Decreto-ley 18/2022</w:t>
      </w:r>
      <w:r>
        <w:rPr>
          <w:rFonts w:ascii="Cambria" w:hAnsi="Cambria"/>
        </w:rPr>
        <w:t xml:space="preserve">, bono social reforzado, </w:t>
      </w:r>
      <w:r>
        <w:rPr>
          <w:rFonts w:ascii="Cambria" w:hAnsi="Cambria"/>
          <w:b/>
          <w:bCs/>
        </w:rPr>
        <w:t xml:space="preserve">Directiva (UE) 2019/944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Reglamento (UE) 2019/943</w:t>
      </w:r>
      <w:r>
        <w:rPr>
          <w:rFonts w:ascii="Cambria" w:hAnsi="Cambria"/>
        </w:rPr>
        <w:t xml:space="preserve">, mercado interior eléctrico, </w:t>
      </w:r>
      <w:r>
        <w:rPr>
          <w:rFonts w:ascii="Cambria" w:hAnsi="Cambria"/>
          <w:b/>
          <w:bCs/>
        </w:rPr>
        <w:t xml:space="preserve">Directiva (UE) 2024/1711</w:t>
      </w:r>
      <w:r>
        <w:rPr>
          <w:rFonts w:ascii="Cambria" w:hAnsi="Cambria"/>
        </w:rPr>
        <w:t xml:space="preserve">, PPA renovables.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SECTOR DE LAS MATERIAS PRIMAS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4.1. Minerales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distinguen minerales energéticos (carbón, uranio) y no energéticos (metálicos, no metálicos y rocas industriales).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es </w:t>
      </w:r>
      <w:r>
        <w:rPr>
          <w:rFonts w:ascii="Cambria" w:hAnsi="Cambria"/>
          <w:b/>
          <w:bCs/>
        </w:rPr>
        <w:t xml:space="preserve">2.º productor mundial de piedra natural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1.º productor europeo de baldosas cerámicas</w:t>
      </w:r>
      <w:r>
        <w:rPr>
          <w:rFonts w:ascii="Cambria" w:hAnsi="Cambria"/>
        </w:rPr>
        <w:t xml:space="preserve"> (Castellón), ambos con saldo positivo, pero el sector minero en conjunto es deficitario.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Reto estratégico de las materias primas críticas: </w:t>
      </w:r>
      <w:r>
        <w:rPr>
          <w:rFonts w:ascii="Cambria" w:hAnsi="Cambria"/>
          <w:b/>
          <w:bCs/>
        </w:rPr>
        <w:t xml:space="preserve">Reglamento (UE) 2024/1252 (CRM Act)</w:t>
      </w:r>
      <w:r>
        <w:rPr>
          <w:rFonts w:ascii="Cambria" w:hAnsi="Cambria"/>
        </w:rPr>
        <w:t xml:space="preserve">, identifica 34 materiales críticos y 17 estratégicos, con objetivos 2030 de extracción (10 %), procesado (40 %) y reciclaje (25 %), y límite del 65 % de concentración geográfica por tercer país.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Normativa: </w:t>
      </w:r>
      <w:r>
        <w:rPr>
          <w:rFonts w:ascii="Cambria" w:hAnsi="Cambria"/>
          <w:b/>
          <w:bCs/>
        </w:rPr>
        <w:t xml:space="preserve">Ley 22/1973, de Minas</w:t>
      </w:r>
      <w:r>
        <w:rPr>
          <w:rFonts w:ascii="Cambria" w:hAnsi="Cambria"/>
        </w:rPr>
        <w:t xml:space="preserve">, y </w:t>
      </w:r>
      <w:r>
        <w:rPr>
          <w:rFonts w:ascii="Cambria" w:hAnsi="Cambria"/>
          <w:b/>
          <w:bCs/>
        </w:rPr>
        <w:t xml:space="preserve">Ley 54/1980</w:t>
      </w:r>
      <w:r>
        <w:rPr>
          <w:rFonts w:ascii="Cambria" w:hAnsi="Cambria"/>
        </w:rPr>
        <w:t xml:space="preserve">, marco general de recursos minerales, </w:t>
      </w:r>
      <w:r>
        <w:rPr>
          <w:rFonts w:ascii="Cambria" w:hAnsi="Cambria"/>
          <w:b/>
          <w:bCs/>
        </w:rPr>
        <w:t xml:space="preserve">Real Decreto 863/1985</w:t>
      </w:r>
      <w:r>
        <w:rPr>
          <w:rFonts w:ascii="Cambria" w:hAnsi="Cambria"/>
        </w:rPr>
        <w:t xml:space="preserve">, seguridad minera, </w:t>
      </w:r>
      <w:r>
        <w:rPr>
          <w:rFonts w:ascii="Cambria" w:hAnsi="Cambria"/>
          <w:b/>
          <w:bCs/>
        </w:rPr>
        <w:t xml:space="preserve">Directiva 2006/21/CE</w:t>
      </w:r>
      <w:r>
        <w:rPr>
          <w:rFonts w:ascii="Cambria" w:hAnsi="Cambria"/>
        </w:rPr>
        <w:t xml:space="preserve">, residuos de industrias extractivas.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4.2. Madera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Dos subsectores: 1.ª transformación (tableros, aserrado) y 2.ª transformación (muebles, carpintería, embalajes).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Principales especies: coníferas (53 %) y frondosas (47 %). El sector forestal representa el </w:t>
      </w:r>
      <w:r>
        <w:rPr>
          <w:rFonts w:ascii="Cambria" w:hAnsi="Cambria"/>
          <w:b/>
          <w:bCs/>
        </w:rPr>
        <w:t xml:space="preserve">5 %</w:t>
      </w:r>
      <w:r>
        <w:rPr>
          <w:rFonts w:ascii="Cambria" w:hAnsi="Cambria"/>
        </w:rPr>
        <w:t xml:space="preserve"> de la producción agraria final y el </w:t>
      </w:r>
      <w:r>
        <w:rPr>
          <w:rFonts w:ascii="Cambria" w:hAnsi="Cambria"/>
          <w:b/>
          <w:bCs/>
        </w:rPr>
        <w:t xml:space="preserve">50 %</w:t>
      </w:r>
      <w:r>
        <w:rPr>
          <w:rFonts w:ascii="Cambria" w:hAnsi="Cambria"/>
        </w:rPr>
        <w:t xml:space="preserve"> del territorio nacional es superficie forestal.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Déficit comercial estructural, con fuerte competencia de China y Sudeste asiático en el mueble.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Normativa: </w:t>
      </w:r>
      <w:r>
        <w:rPr>
          <w:rFonts w:ascii="Cambria" w:hAnsi="Cambria"/>
          <w:b/>
          <w:bCs/>
        </w:rPr>
        <w:t xml:space="preserve">Ley 43/2003, de Montes</w:t>
      </w:r>
      <w:r>
        <w:rPr>
          <w:rFonts w:ascii="Cambria" w:hAnsi="Cambria"/>
        </w:rPr>
        <w:t xml:space="preserve">, modificada por la </w:t>
      </w:r>
      <w:r>
        <w:rPr>
          <w:rFonts w:ascii="Cambria" w:hAnsi="Cambria"/>
          <w:b/>
          <w:bCs/>
        </w:rPr>
        <w:t xml:space="preserve">Ley 21/2015</w:t>
      </w:r>
      <w:r>
        <w:rPr>
          <w:rFonts w:ascii="Cambria" w:hAnsi="Cambria"/>
        </w:rPr>
        <w:t xml:space="preserve">, prohíbe recalificar terrenos incendiados antes de 30 años, </w:t>
      </w:r>
      <w:r>
        <w:rPr>
          <w:rFonts w:ascii="Cambria" w:hAnsi="Cambria"/>
          <w:b/>
          <w:bCs/>
        </w:rPr>
        <w:t xml:space="preserve">Reglamento (UE) 995/2010 (EUTR)</w:t>
      </w:r>
      <w:r>
        <w:rPr>
          <w:rFonts w:ascii="Cambria" w:hAnsi="Cambria"/>
        </w:rPr>
        <w:t xml:space="preserve">, prohíbe madera de tala ilegal, </w:t>
      </w:r>
      <w:r>
        <w:rPr>
          <w:rFonts w:ascii="Cambria" w:hAnsi="Cambria"/>
          <w:b/>
          <w:bCs/>
        </w:rPr>
        <w:t xml:space="preserve">Reglamento (UE) 2023/1115 (EUDR)</w:t>
      </w:r>
      <w:r>
        <w:rPr>
          <w:rFonts w:ascii="Cambria" w:hAnsi="Cambria"/>
        </w:rPr>
        <w:t xml:space="preserve">, exige ausencia de deforestación en madera y otros productos.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4.3. Corcho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Producto forestal obtenido del alcornoque, segundo aprovechamiento del monte en importancia económica.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Portugal es primer productor mundial y España segundo, con la industria de tapones (65 % de la actividad) concentrada en Cataluña.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Sector superavitario, ligado al sector vinícola. Se aplica la misma normativa que a la madera, más normas técnicas UNE de AENOR.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ENERGÍAS RENOVABLES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IDAE</w:t>
      </w:r>
      <w:r>
        <w:rPr>
          <w:rFonts w:ascii="Cambria" w:hAnsi="Cambria"/>
        </w:rPr>
        <w:t xml:space="preserve">, adscrito al MITECO vía la Secretaría de Estado de Energía, ejecuta las políticas de eficiencia y renovables.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fuentes más rentables actualmente son la eólica, la solar fotovoltaica y la minihidráulica.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5.1. Principales fuentes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Solar fotovoltaica: España supera los </w:t>
      </w:r>
      <w:r>
        <w:rPr>
          <w:rFonts w:ascii="Cambria" w:hAnsi="Cambria"/>
          <w:b/>
          <w:bCs/>
        </w:rPr>
        <w:t xml:space="preserve">32 GW</w:t>
      </w:r>
      <w:r>
        <w:rPr>
          <w:rFonts w:ascii="Cambria" w:hAnsi="Cambria"/>
        </w:rPr>
        <w:t xml:space="preserve"> instalados a cierre de 2024.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Solar termoeléctrica: entre los dos principales productores mundiales, con </w:t>
      </w:r>
      <w:r>
        <w:rPr>
          <w:rFonts w:ascii="Cambria" w:hAnsi="Cambria"/>
          <w:b/>
          <w:bCs/>
        </w:rPr>
        <w:t xml:space="preserve">2,4 GW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Solar térmica: producción de ACS y calefacción.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Eólica: España supera los </w:t>
      </w:r>
      <w:r>
        <w:rPr>
          <w:rFonts w:ascii="Cambria" w:hAnsi="Cambria"/>
          <w:b/>
          <w:bCs/>
        </w:rPr>
        <w:t xml:space="preserve">31 GW</w:t>
      </w:r>
      <w:r>
        <w:rPr>
          <w:rFonts w:ascii="Cambria" w:hAnsi="Cambria"/>
        </w:rPr>
        <w:t xml:space="preserve">, 2.º país de la UE, con Galicia, Castilla-La Mancha, Aragón y Castilla y León como principales regiones.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Hidroeléctrica: sector maduro y consolidado.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Biomasa y biocarburantes: reforzados por el </w:t>
      </w:r>
      <w:r>
        <w:rPr>
          <w:rFonts w:ascii="Cambria" w:hAnsi="Cambria"/>
          <w:b/>
          <w:bCs/>
        </w:rPr>
        <w:t xml:space="preserve">Reglamento ReFuelEU Aviation (UE) 2023/2405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Hidrógeno verde: vector clave según la Estrategia Española de Hidrógeno y el plan </w:t>
      </w:r>
      <w:r>
        <w:rPr>
          <w:rFonts w:ascii="Cambria" w:hAnsi="Cambria"/>
          <w:b/>
          <w:bCs/>
        </w:rPr>
        <w:t xml:space="preserve">REPowerEU</w:t>
      </w:r>
      <w:r>
        <w:rPr>
          <w:rFonts w:ascii="Cambria" w:hAnsi="Cambria"/>
        </w:rPr>
        <w:t xml:space="preserve">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5.2. Marco de planificación y normativa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Plan de Energías Renovables 2011-2020 (PER) y PANER: objetivo del </w:t>
      </w:r>
      <w:r>
        <w:rPr>
          <w:rFonts w:ascii="Cambria" w:hAnsi="Cambria"/>
          <w:b/>
          <w:bCs/>
        </w:rPr>
        <w:t xml:space="preserve">20 %</w:t>
      </w:r>
      <w:r>
        <w:rPr>
          <w:rFonts w:ascii="Cambria" w:hAnsi="Cambria"/>
        </w:rPr>
        <w:t xml:space="preserve"> cumplido (22,5 %).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PNIEC 2021-2030</w:t>
      </w:r>
      <w:r>
        <w:rPr>
          <w:rFonts w:ascii="Cambria" w:hAnsi="Cambria"/>
        </w:rPr>
        <w:t xml:space="preserve">: objetivos de </w:t>
      </w:r>
      <w:r>
        <w:rPr>
          <w:rFonts w:ascii="Cambria" w:hAnsi="Cambria"/>
          <w:b/>
          <w:bCs/>
        </w:rPr>
        <w:t xml:space="preserve">42 %</w:t>
      </w:r>
      <w:r>
        <w:rPr>
          <w:rFonts w:ascii="Cambria" w:hAnsi="Cambria"/>
        </w:rPr>
        <w:t xml:space="preserve"> de renovables en consumo final, </w:t>
      </w:r>
      <w:r>
        <w:rPr>
          <w:rFonts w:ascii="Cambria" w:hAnsi="Cambria"/>
          <w:b/>
          <w:bCs/>
        </w:rPr>
        <w:t xml:space="preserve">74 %</w:t>
      </w:r>
      <w:r>
        <w:rPr>
          <w:rFonts w:ascii="Cambria" w:hAnsi="Cambria"/>
        </w:rPr>
        <w:t xml:space="preserve"> de electricidad renovable, </w:t>
      </w:r>
      <w:r>
        <w:rPr>
          <w:rFonts w:ascii="Cambria" w:hAnsi="Cambria"/>
          <w:b/>
          <w:bCs/>
        </w:rPr>
        <w:t xml:space="preserve">-23 %</w:t>
      </w:r>
      <w:r>
        <w:rPr>
          <w:rFonts w:ascii="Cambria" w:hAnsi="Cambria"/>
        </w:rPr>
        <w:t xml:space="preserve"> de GEI y </w:t>
      </w:r>
      <w:r>
        <w:rPr>
          <w:rFonts w:ascii="Cambria" w:hAnsi="Cambria"/>
          <w:b/>
          <w:bCs/>
        </w:rPr>
        <w:t xml:space="preserve">39,5 %</w:t>
      </w:r>
      <w:r>
        <w:rPr>
          <w:rFonts w:ascii="Cambria" w:hAnsi="Cambria"/>
        </w:rPr>
        <w:t xml:space="preserve"> de eficiencia, revisado en 2024 para el «Fit for 55».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7/2021</w:t>
      </w:r>
      <w:r>
        <w:rPr>
          <w:rFonts w:ascii="Cambria" w:hAnsi="Cambria"/>
        </w:rPr>
        <w:t xml:space="preserve">, de Cambio Climático y Transición Energética.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Estrategia Española de Economía Circular 2030 (EEEC), 2020: reducción del 30 % en consumo de materiales, 15 % en residuos y 10 % en eficiencia del agua.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Paquete de invierno (2018) y </w:t>
      </w:r>
      <w:r>
        <w:rPr>
          <w:rFonts w:ascii="Cambria" w:hAnsi="Cambria"/>
          <w:b/>
          <w:bCs/>
        </w:rPr>
        <w:t xml:space="preserve">Fit for 55</w:t>
      </w:r>
      <w:r>
        <w:rPr>
          <w:rFonts w:ascii="Cambria" w:hAnsi="Cambria"/>
        </w:rPr>
        <w:t xml:space="preserve"> (2021-2023): </w:t>
      </w:r>
      <w:r>
        <w:rPr>
          <w:rFonts w:ascii="Cambria" w:hAnsi="Cambria"/>
          <w:b/>
          <w:bCs/>
        </w:rPr>
        <w:t xml:space="preserve">Reglamento (UE) 2018/1999</w:t>
      </w:r>
      <w:r>
        <w:rPr>
          <w:rFonts w:ascii="Cambria" w:hAnsi="Cambria"/>
        </w:rPr>
        <w:t xml:space="preserve">, gobernanza y PNIEC, </w:t>
      </w:r>
      <w:r>
        <w:rPr>
          <w:rFonts w:ascii="Cambria" w:hAnsi="Cambria"/>
          <w:b/>
          <w:bCs/>
        </w:rPr>
        <w:t xml:space="preserve">Directiva (UE) 2018/2001 (RED II)</w:t>
      </w:r>
      <w:r>
        <w:rPr>
          <w:rFonts w:ascii="Cambria" w:hAnsi="Cambria"/>
        </w:rPr>
        <w:t xml:space="preserve">, 32 % renovables en 2030, </w:t>
      </w:r>
      <w:r>
        <w:rPr>
          <w:rFonts w:ascii="Cambria" w:hAnsi="Cambria"/>
          <w:b/>
          <w:bCs/>
        </w:rPr>
        <w:t xml:space="preserve">Directiva (UE) 2023/2413 (RED III)</w:t>
      </w:r>
      <w:r>
        <w:rPr>
          <w:rFonts w:ascii="Cambria" w:hAnsi="Cambria"/>
        </w:rPr>
        <w:t xml:space="preserve">, eleva al 42,5 % (aspiracional 45 %), </w:t>
      </w:r>
      <w:r>
        <w:rPr>
          <w:rFonts w:ascii="Cambria" w:hAnsi="Cambria"/>
          <w:b/>
          <w:bCs/>
        </w:rPr>
        <w:t xml:space="preserve">Reglamento (UE) 2023/1791</w:t>
      </w:r>
      <w:r>
        <w:rPr>
          <w:rFonts w:ascii="Cambria" w:hAnsi="Cambria"/>
        </w:rPr>
        <w:t xml:space="preserve">, eficiencia energética al 11,7 %, </w:t>
      </w:r>
      <w:r>
        <w:rPr>
          <w:rFonts w:ascii="Cambria" w:hAnsi="Cambria"/>
          <w:b/>
          <w:bCs/>
        </w:rPr>
        <w:t xml:space="preserve">Directiva (UE) 2018/844 (EPBD)</w:t>
      </w:r>
      <w:r>
        <w:rPr>
          <w:rFonts w:ascii="Cambria" w:hAnsi="Cambria"/>
        </w:rPr>
        <w:t xml:space="preserve">, revisada por la </w:t>
      </w:r>
      <w:r>
        <w:rPr>
          <w:rFonts w:ascii="Cambria" w:hAnsi="Cambria"/>
          <w:b/>
          <w:bCs/>
        </w:rPr>
        <w:t xml:space="preserve">Directiva (UE) 2024/1275</w:t>
      </w:r>
      <w:r>
        <w:rPr>
          <w:rFonts w:ascii="Cambria" w:hAnsi="Cambria"/>
        </w:rPr>
        <w:t xml:space="preserve">, edificios de cero emisiones desde 2028/2030, </w:t>
      </w:r>
      <w:r>
        <w:rPr>
          <w:rFonts w:ascii="Cambria" w:hAnsi="Cambria"/>
          <w:b/>
          <w:bCs/>
        </w:rPr>
        <w:t xml:space="preserve">Reglamento (UE) 2021/1119</w:t>
      </w:r>
      <w:r>
        <w:rPr>
          <w:rFonts w:ascii="Cambria" w:hAnsi="Cambria"/>
        </w:rPr>
        <w:t xml:space="preserve">, Ley Europea del Clima, neutralidad en 2050 y -55 % de GEI en 2030, Pacto Verde Europeo (2019), </w:t>
      </w:r>
      <w:r>
        <w:rPr>
          <w:rFonts w:ascii="Cambria" w:hAnsi="Cambria"/>
          <w:b/>
          <w:bCs/>
        </w:rPr>
        <w:t xml:space="preserve">REPowerEU</w:t>
      </w:r>
      <w:r>
        <w:rPr>
          <w:rFonts w:ascii="Cambria" w:hAnsi="Cambria"/>
        </w:rPr>
        <w:t xml:space="preserve"> (2022), 45 % de renovables en 2030.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presenta una vulnerabilidad estructural por su dependencia energética exterior, en torno al </w:t>
      </w:r>
      <w:r>
        <w:rPr>
          <w:rFonts w:ascii="Cambria" w:hAnsi="Cambria"/>
          <w:b/>
          <w:bCs/>
        </w:rPr>
        <w:t xml:space="preserve">70 %</w:t>
      </w:r>
      <w:r>
        <w:rPr>
          <w:rFonts w:ascii="Cambria" w:hAnsi="Cambria"/>
        </w:rPr>
        <w:t xml:space="preserve">, agravada por la invasión rusa de Ucrania en 2022.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transición energética se apoya en tres pilares: el despliegue de renovables, ya mayoritarias en la generación eléctrica en 2024, la diversificación de suministros gracias a la mayor red europea de regasificación de GNL, y el desarrollo del hidrógeno verde, con el futuro corredor </w:t>
      </w:r>
      <w:r>
        <w:rPr>
          <w:rFonts w:ascii="Cambria" w:hAnsi="Cambria"/>
          <w:b/>
          <w:bCs/>
        </w:rPr>
        <w:t xml:space="preserve">H2Med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Estos objetivos representan una oportunidad para transformar la dependencia energética en ventaja competitiva, liderando un modelo productivo sostenible y generador de empleo de calidad.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14 –Sector de productos energéticos y materias primas: Petróleo y derivados. Gas. Carbón y electricidad. Minerales. Madera. Energías renovables.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