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1. INTRODUCCIÓN Y LEGISLACIÓN GENERAL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sector secundario supone el </w:t>
      </w:r>
      <w:r>
        <w:rPr>
          <w:rFonts w:ascii="Cambria" w:hAnsi="Cambria"/>
          <w:b/>
          <w:bCs/>
        </w:rPr>
        <w:t xml:space="preserve">14,2 %</w:t>
      </w:r>
      <w:r>
        <w:rPr>
          <w:rFonts w:ascii="Cambria" w:hAnsi="Cambria"/>
        </w:rPr>
        <w:t xml:space="preserve"> del PIB, el </w:t>
      </w:r>
      <w:r>
        <w:rPr>
          <w:rFonts w:ascii="Cambria" w:hAnsi="Cambria"/>
          <w:b/>
          <w:bCs/>
        </w:rPr>
        <w:t xml:space="preserve">15,6 %</w:t>
      </w:r>
      <w:r>
        <w:rPr>
          <w:rFonts w:ascii="Cambria" w:hAnsi="Cambria"/>
        </w:rPr>
        <w:t xml:space="preserve"> del VAB y el </w:t>
      </w:r>
      <w:r>
        <w:rPr>
          <w:rFonts w:ascii="Cambria" w:hAnsi="Cambria"/>
          <w:b/>
          <w:bCs/>
        </w:rPr>
        <w:t xml:space="preserve">11,4 %</w:t>
      </w:r>
      <w:r>
        <w:rPr>
          <w:rFonts w:ascii="Cambria" w:hAnsi="Cambria"/>
        </w:rPr>
        <w:t xml:space="preserve"> del empleo, según el Informe Anual 2025 de la SG de Estudios, Análisis y Planes de Actuación del MINTUR.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industria manufacturera se clasifica en: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Bienes intermedios o semimanufacturas</w:t>
      </w:r>
      <w:r>
        <w:rPr>
          <w:rFonts w:ascii="Cambria" w:hAnsi="Cambria"/>
        </w:rPr>
        <w:t xml:space="preserve">, suministro para otras industrias.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Bienes de equipo</w:t>
      </w:r>
      <w:r>
        <w:rPr>
          <w:rFonts w:ascii="Cambria" w:hAnsi="Cambria"/>
        </w:rPr>
        <w:t xml:space="preserve">, productos metálicos, maquinaria, material de transporte e instrumentos de precisión.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Bienes de consumo</w:t>
      </w:r>
      <w:r>
        <w:rPr>
          <w:rFonts w:ascii="Cambria" w:hAnsi="Cambria"/>
        </w:rPr>
        <w:t xml:space="preserve">, duraderos y no duraderos.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Legislación general (competencia de la SG de Calidad y Seguridad Industrial del MINTUR):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Ley 21/1992, de Industria</w:t>
      </w:r>
      <w:r>
        <w:rPr>
          <w:rFonts w:ascii="Cambria" w:hAnsi="Cambria"/>
        </w:rPr>
        <w:t xml:space="preserve">, adapta la actividad industrial al Mercado Único.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Real Decreto 559/2010</w:t>
      </w:r>
      <w:r>
        <w:rPr>
          <w:rFonts w:ascii="Cambria" w:hAnsi="Cambria"/>
        </w:rPr>
        <w:t xml:space="preserve">, Reglamento del Registro Integrado Industrial.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Real Decreto 1072/2015</w:t>
      </w:r>
      <w:r>
        <w:rPr>
          <w:rFonts w:ascii="Cambria" w:hAnsi="Cambria"/>
        </w:rPr>
        <w:t xml:space="preserve">, Reglamento de la Infraestructura para la Calidad, reconoce a AENOR y ENAC.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Real Decreto 1468/1988</w:t>
      </w:r>
      <w:r>
        <w:rPr>
          <w:rFonts w:ascii="Cambria" w:hAnsi="Cambria"/>
        </w:rPr>
        <w:t xml:space="preserve">, etiquetado, presentación y publicidad de productos industriales.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Real Decreto 1406/1989</w:t>
      </w:r>
      <w:r>
        <w:rPr>
          <w:rFonts w:ascii="Cambria" w:hAnsi="Cambria"/>
        </w:rPr>
        <w:t xml:space="preserve">, limita sustancias peligrosas (benceno, amianto, mercurio).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Real Decreto 330/2008</w:t>
      </w:r>
      <w:r>
        <w:rPr>
          <w:rFonts w:ascii="Cambria" w:hAnsi="Cambria"/>
        </w:rPr>
        <w:t xml:space="preserve">, control de importación, apoyado en el sistema </w:t>
      </w:r>
      <w:r>
        <w:rPr>
          <w:rFonts w:ascii="Cambria" w:hAnsi="Cambria"/>
          <w:b/>
          <w:bCs/>
        </w:rPr>
        <w:t xml:space="preserve">RAPEX</w:t>
      </w:r>
      <w:r>
        <w:rPr>
          <w:rFonts w:ascii="Cambria" w:hAnsi="Cambria"/>
        </w:rPr>
        <w:t xml:space="preserve"> y el </w:t>
      </w:r>
      <w:r>
        <w:rPr>
          <w:rFonts w:ascii="Cambria" w:hAnsi="Cambria"/>
          <w:b/>
          <w:bCs/>
        </w:rPr>
        <w:t xml:space="preserve">SOIVRE</w:t>
      </w:r>
      <w:r>
        <w:rPr>
          <w:rFonts w:ascii="Cambria" w:hAnsi="Cambria"/>
        </w:rPr>
        <w:t xml:space="preserve">. La </w:t>
      </w:r>
      <w:r>
        <w:rPr>
          <w:rFonts w:ascii="Cambria" w:hAnsi="Cambria"/>
          <w:b/>
          <w:bCs/>
        </w:rPr>
        <w:t xml:space="preserve">Orden PJC/161/2026</w:t>
      </w:r>
      <w:r>
        <w:rPr>
          <w:rFonts w:ascii="Cambria" w:hAnsi="Cambria"/>
        </w:rPr>
        <w:t xml:space="preserve"> fija la lista de productos sujetos a control. El </w:t>
      </w:r>
      <w:r>
        <w:rPr>
          <w:rFonts w:ascii="Cambria" w:hAnsi="Cambria"/>
          <w:b/>
          <w:bCs/>
        </w:rPr>
        <w:t xml:space="preserve">Real Decreto 993/2022</w:t>
      </w:r>
      <w:r>
        <w:rPr>
          <w:rFonts w:ascii="Cambria" w:hAnsi="Cambria"/>
        </w:rPr>
        <w:t xml:space="preserve"> la amplía a AEE y pilas.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Reglamento (CE) 765/2008</w:t>
      </w:r>
      <w:r>
        <w:rPr>
          <w:rFonts w:ascii="Cambria" w:hAnsi="Cambria"/>
        </w:rPr>
        <w:t xml:space="preserve">, acreditación y marcado CE, sustituido en vigilancia de mercado por el </w:t>
      </w:r>
      <w:r>
        <w:rPr>
          <w:rFonts w:ascii="Cambria" w:hAnsi="Cambria"/>
          <w:b/>
          <w:bCs/>
        </w:rPr>
        <w:t xml:space="preserve">Reglamento (UE) 2019/1020</w:t>
      </w:r>
      <w:r>
        <w:rPr>
          <w:rFonts w:ascii="Cambria" w:hAnsi="Cambria"/>
        </w:rPr>
        <w:t xml:space="preserve">, que reconoce al SOIVRE como Autoridad de Vigilancia del Mercado.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Reglamento (UE) 2019/515</w:t>
      </w:r>
      <w:r>
        <w:rPr>
          <w:rFonts w:ascii="Cambria" w:hAnsi="Cambria"/>
        </w:rPr>
        <w:t xml:space="preserve">, reconocimiento mutuo de mercancías. </w:t>
      </w:r>
      <w:r>
        <w:rPr>
          <w:rFonts w:ascii="Cambria" w:hAnsi="Cambria"/>
          <w:b/>
          <w:bCs/>
        </w:rPr>
        <w:t xml:space="preserve">Decisión 768/2008/CE</w:t>
      </w:r>
      <w:r>
        <w:rPr>
          <w:rFonts w:ascii="Cambria" w:hAnsi="Cambria"/>
        </w:rPr>
        <w:t xml:space="preserve">, base del Nuevo Marco Legislativo.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Reglamento (UE) 2023/988 (RGSP)</w:t>
      </w:r>
      <w:r>
        <w:rPr>
          <w:rFonts w:ascii="Cambria" w:hAnsi="Cambria"/>
        </w:rPr>
        <w:t xml:space="preserve">, seguridad general de productos, aplicable desde el </w:t>
      </w:r>
      <w:r>
        <w:rPr>
          <w:rFonts w:ascii="Cambria" w:hAnsi="Cambria"/>
          <w:b/>
          <w:bCs/>
        </w:rPr>
        <w:t xml:space="preserve">13 de diciembre de 2024</w:t>
      </w:r>
      <w:r>
        <w:rPr>
          <w:rFonts w:ascii="Cambria" w:hAnsi="Cambria"/>
        </w:rPr>
        <w:t xml:space="preserve">, refuerza el sistema </w:t>
      </w:r>
      <w:r>
        <w:rPr>
          <w:rFonts w:ascii="Cambria" w:hAnsi="Cambria"/>
          <w:b/>
          <w:bCs/>
        </w:rPr>
        <w:t xml:space="preserve">Safety Gate</w:t>
      </w:r>
      <w:r>
        <w:rPr>
          <w:rFonts w:ascii="Cambria" w:hAnsi="Cambria"/>
        </w:rPr>
        <w:t xml:space="preserve">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Reglamento (CE) 1907/2006 (REACH)</w:t>
      </w:r>
      <w:r>
        <w:rPr>
          <w:rFonts w:ascii="Cambria" w:hAnsi="Cambria"/>
        </w:rPr>
        <w:t xml:space="preserve">, sustancias químicas, crea la </w:t>
      </w:r>
      <w:r>
        <w:rPr>
          <w:rFonts w:ascii="Cambria" w:hAnsi="Cambria"/>
          <w:b/>
          <w:bCs/>
        </w:rPr>
        <w:t xml:space="preserve">ECHA</w:t>
      </w:r>
      <w:r>
        <w:rPr>
          <w:rFonts w:ascii="Cambria" w:hAnsi="Cambria"/>
        </w:rPr>
        <w:t xml:space="preserve">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Reglamento (UE) 2023/2411</w:t>
      </w:r>
      <w:r>
        <w:rPr>
          <w:rFonts w:ascii="Cambria" w:hAnsi="Cambria"/>
        </w:rPr>
        <w:t xml:space="preserve">, indicaciones geográficas de productos industriales y artesanales.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2. METALES NO FERROSOS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Comprenden la obtención de metales distintos del hierro por fusión de minerales o chatarras, incluidos metales preciosos y radiactivos.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Según el INE, la metalurgia (división 24 CNAE) representó en 2024 el </w:t>
      </w:r>
      <w:r>
        <w:rPr>
          <w:rFonts w:ascii="Cambria" w:hAnsi="Cambria"/>
          <w:b/>
          <w:bCs/>
        </w:rPr>
        <w:t xml:space="preserve">4,3 %</w:t>
      </w:r>
      <w:r>
        <w:rPr>
          <w:rFonts w:ascii="Cambria" w:hAnsi="Cambria"/>
        </w:rPr>
        <w:t xml:space="preserve"> de la producción industrial, el </w:t>
      </w:r>
      <w:r>
        <w:rPr>
          <w:rFonts w:ascii="Cambria" w:hAnsi="Cambria"/>
          <w:b/>
          <w:bCs/>
        </w:rPr>
        <w:t xml:space="preserve">2,6 %</w:t>
      </w:r>
      <w:r>
        <w:rPr>
          <w:rFonts w:ascii="Cambria" w:hAnsi="Cambria"/>
        </w:rPr>
        <w:t xml:space="preserve"> del VAB industrial y el </w:t>
      </w:r>
      <w:r>
        <w:rPr>
          <w:rFonts w:ascii="Cambria" w:hAnsi="Cambria"/>
          <w:b/>
          <w:bCs/>
        </w:rPr>
        <w:t xml:space="preserve">2,5 %</w:t>
      </w:r>
      <w:r>
        <w:rPr>
          <w:rFonts w:ascii="Cambria" w:hAnsi="Cambria"/>
        </w:rPr>
        <w:t xml:space="preserve"> del empleo industrial.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Según DATACOMEX, saldo positivo en 2025: exportaciones </w:t>
      </w:r>
      <w:r>
        <w:rPr>
          <w:rFonts w:ascii="Cambria" w:hAnsi="Cambria"/>
          <w:b/>
          <w:bCs/>
        </w:rPr>
        <w:t xml:space="preserve">+6,5 %</w:t>
      </w:r>
      <w:r>
        <w:rPr>
          <w:rFonts w:ascii="Cambria" w:hAnsi="Cambria"/>
        </w:rPr>
        <w:t xml:space="preserve">, importaciones </w:t>
      </w:r>
      <w:r>
        <w:rPr>
          <w:rFonts w:ascii="Cambria" w:hAnsi="Cambria"/>
          <w:b/>
          <w:bCs/>
        </w:rPr>
        <w:t xml:space="preserve">+15,3 %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Principales metales: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Aluminio</w:t>
      </w:r>
      <w:r>
        <w:rPr>
          <w:rFonts w:ascii="Cambria" w:hAnsi="Cambria"/>
        </w:rPr>
        <w:t xml:space="preserve">, de la bauxita, transporte y construcción. China es primer productor. España deficitaria.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Cobre</w:t>
      </w:r>
      <w:r>
        <w:rPr>
          <w:rFonts w:ascii="Cambria" w:hAnsi="Cambria"/>
        </w:rPr>
        <w:t xml:space="preserve">, conductores eléctricos, aleaciones. Chile es primer productor. España superavitaria.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Zinc</w:t>
      </w:r>
      <w:r>
        <w:rPr>
          <w:rFonts w:ascii="Cambria" w:hAnsi="Cambria"/>
        </w:rPr>
        <w:t xml:space="preserve">, galvanización. España, entre los principales productores europeos. Superavitaria.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Plomo</w:t>
      </w:r>
      <w:r>
        <w:rPr>
          <w:rFonts w:ascii="Cambria" w:hAnsi="Cambria"/>
        </w:rPr>
        <w:t xml:space="preserve">, baterías. China es primer productor. Producción española basada en reciclado. Deficitaria.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Litio y tierras raras</w:t>
      </w:r>
      <w:r>
        <w:rPr>
          <w:rFonts w:ascii="Cambria" w:hAnsi="Cambria"/>
        </w:rPr>
        <w:t xml:space="preserve">, materias críticas para la transición energética. España deficitaria.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Normativa: </w:t>
      </w:r>
      <w:r>
        <w:rPr>
          <w:rFonts w:ascii="Cambria" w:hAnsi="Cambria"/>
          <w:b/>
          <w:bCs/>
        </w:rPr>
        <w:t xml:space="preserve">Reglamento (UE) 2024/1252 (Critical Raw Materials Act)</w:t>
      </w:r>
      <w:r>
        <w:rPr>
          <w:rFonts w:ascii="Cambria" w:hAnsi="Cambria"/>
        </w:rPr>
        <w:t xml:space="preserve">, objetivos para 2030 de extracción (</w:t>
      </w:r>
      <w:r>
        <w:rPr>
          <w:rFonts w:ascii="Cambria" w:hAnsi="Cambria"/>
          <w:b/>
          <w:bCs/>
        </w:rPr>
        <w:t xml:space="preserve">10 %</w:t>
      </w:r>
      <w:r>
        <w:rPr>
          <w:rFonts w:ascii="Cambria" w:hAnsi="Cambria"/>
        </w:rPr>
        <w:t xml:space="preserve">), transformación (</w:t>
      </w:r>
      <w:r>
        <w:rPr>
          <w:rFonts w:ascii="Cambria" w:hAnsi="Cambria"/>
          <w:b/>
          <w:bCs/>
        </w:rPr>
        <w:t xml:space="preserve">40 %</w:t>
      </w:r>
      <w:r>
        <w:rPr>
          <w:rFonts w:ascii="Cambria" w:hAnsi="Cambria"/>
        </w:rPr>
        <w:t xml:space="preserve">) y reciclaje (</w:t>
      </w:r>
      <w:r>
        <w:rPr>
          <w:rFonts w:ascii="Cambria" w:hAnsi="Cambria"/>
          <w:b/>
          <w:bCs/>
        </w:rPr>
        <w:t xml:space="preserve">25 %</w:t>
      </w:r>
      <w:r>
        <w:rPr>
          <w:rFonts w:ascii="Cambria" w:hAnsi="Cambria"/>
        </w:rPr>
        <w:t xml:space="preserve">) de materias críticas. </w:t>
      </w:r>
      <w:r>
        <w:rPr>
          <w:rFonts w:ascii="Cambria" w:hAnsi="Cambria"/>
          <w:b/>
          <w:bCs/>
        </w:rPr>
        <w:t xml:space="preserve">Reglamento (UE) 2023/956 (CBAM)</w:t>
      </w:r>
      <w:r>
        <w:rPr>
          <w:rFonts w:ascii="Cambria" w:hAnsi="Cambria"/>
        </w:rPr>
        <w:t xml:space="preserve">, aplicable al aluminio desde 2026. </w:t>
      </w:r>
      <w:r>
        <w:rPr>
          <w:rFonts w:ascii="Cambria" w:hAnsi="Cambria"/>
          <w:b/>
          <w:bCs/>
        </w:rPr>
        <w:t xml:space="preserve">Directiva 2010/75/UE</w:t>
      </w:r>
      <w:r>
        <w:rPr>
          <w:rFonts w:ascii="Cambria" w:hAnsi="Cambria"/>
        </w:rPr>
        <w:t xml:space="preserve">, emisiones industriales.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3. HIERRO Y ACERO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Sector básico, insumo de automoción, naval, ferroviario y construcción. Tres subsectores: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Siderurgia integral</w:t>
      </w:r>
      <w:r>
        <w:rPr>
          <w:rFonts w:ascii="Cambria" w:hAnsi="Cambria"/>
        </w:rPr>
        <w:t xml:space="preserve">, altos hornos desde mineral y coque.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Siderurgia común o eléctrica</w:t>
      </w:r>
      <w:r>
        <w:rPr>
          <w:rFonts w:ascii="Cambria" w:hAnsi="Cambria"/>
        </w:rPr>
        <w:t xml:space="preserve">, chatarra en hornos eléctricos, más flexible y menos emisora.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Aceros especiales</w:t>
      </w:r>
      <w:r>
        <w:rPr>
          <w:rFonts w:ascii="Cambria" w:hAnsi="Cambria"/>
        </w:rPr>
        <w:t xml:space="preserve">, aeronáutica, medicina, energía y defensa.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China concentra la mitad de la producción mundial. En la UE destacan Alemania, Italia, Francia y España.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España predomina en acerías eléctricas, instalaciones en País Vasco, Asturias, Galicia y Cataluña.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Según DATACOMEX, saldo negativo en 2025, salvo manufacturas de hierro y acero, superavitarias.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producción de acero genera entre el </w:t>
      </w:r>
      <w:r>
        <w:rPr>
          <w:rFonts w:ascii="Cambria" w:hAnsi="Cambria"/>
          <w:b/>
          <w:bCs/>
        </w:rPr>
        <w:t xml:space="preserve">7 %</w:t>
      </w:r>
      <w:r>
        <w:rPr>
          <w:rFonts w:ascii="Cambria" w:hAnsi="Cambria"/>
        </w:rPr>
        <w:t xml:space="preserve"> y el </w:t>
      </w:r>
      <w:r>
        <w:rPr>
          <w:rFonts w:ascii="Cambria" w:hAnsi="Cambria"/>
          <w:b/>
          <w:bCs/>
        </w:rPr>
        <w:t xml:space="preserve">9 %</w:t>
      </w:r>
      <w:r>
        <w:rPr>
          <w:rFonts w:ascii="Cambria" w:hAnsi="Cambria"/>
        </w:rPr>
        <w:t xml:space="preserve"> de las emisiones globales de CO2, de ahí la transición al </w:t>
      </w:r>
      <w:r>
        <w:rPr>
          <w:rFonts w:ascii="Cambria" w:hAnsi="Cambria"/>
          <w:b/>
          <w:bCs/>
        </w:rPr>
        <w:t xml:space="preserve">acero verde</w:t>
      </w:r>
      <w:r>
        <w:rPr>
          <w:rFonts w:ascii="Cambria" w:hAnsi="Cambria"/>
        </w:rPr>
        <w:t xml:space="preserve"> en el marco del Pacto Verde Europeo.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Normativa: </w:t>
      </w:r>
      <w:r>
        <w:rPr>
          <w:rFonts w:ascii="Cambria" w:hAnsi="Cambria"/>
          <w:b/>
          <w:bCs/>
        </w:rPr>
        <w:t xml:space="preserve">Reglamento (UE) 2023/956 (CBAM)</w:t>
      </w:r>
      <w:r>
        <w:rPr>
          <w:rFonts w:ascii="Cambria" w:hAnsi="Cambria"/>
        </w:rPr>
        <w:t xml:space="preserve">. </w:t>
      </w:r>
      <w:r>
        <w:rPr>
          <w:rFonts w:ascii="Cambria" w:hAnsi="Cambria"/>
          <w:b/>
          <w:bCs/>
        </w:rPr>
        <w:t xml:space="preserve">Reglamento (UE) 2016/1036</w:t>
      </w:r>
      <w:r>
        <w:rPr>
          <w:rFonts w:ascii="Cambria" w:hAnsi="Cambria"/>
        </w:rPr>
        <w:t xml:space="preserve">, antidumping. </w:t>
      </w:r>
      <w:r>
        <w:rPr>
          <w:rFonts w:ascii="Cambria" w:hAnsi="Cambria"/>
          <w:b/>
          <w:bCs/>
        </w:rPr>
        <w:t xml:space="preserve">Reglamento (UE) 2016/1037</w:t>
      </w:r>
      <w:r>
        <w:rPr>
          <w:rFonts w:ascii="Cambria" w:hAnsi="Cambria"/>
        </w:rPr>
        <w:t xml:space="preserve">, subvenciones.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4. PAPEL Y PRODUCTOS CERÁMICOS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Papel</w:t>
      </w:r>
      <w:r>
        <w:rPr>
          <w:rFonts w:ascii="Cambria" w:hAnsi="Cambria"/>
        </w:rPr>
        <w:t xml:space="preserve">: tipos principales, papel prensa, papel de impresión y escritura, papel higiénico y sanitario, y papel para envases y embalajes.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Principales productores mundiales: China, Estados Unidos, Japón y Canadá. En la UE, Alemania, Suecia y Finlandia.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España cuenta con unas quince fábricas de celulosa y más de un centenar papeleras (SAICA, Smurfit Westrock España, Lecta), sexto productor de la UE.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DATACOMEX: saldo positivo cercano a </w:t>
      </w:r>
      <w:r>
        <w:rPr>
          <w:rFonts w:ascii="Cambria" w:hAnsi="Cambria"/>
          <w:b/>
          <w:bCs/>
        </w:rPr>
        <w:t xml:space="preserve">126 M€</w:t>
      </w:r>
      <w:r>
        <w:rPr>
          <w:rFonts w:ascii="Cambria" w:hAnsi="Cambria"/>
        </w:rPr>
        <w:t xml:space="preserve"> en 2025. Reciclaje de papel y cartón superior al </w:t>
      </w:r>
      <w:r>
        <w:rPr>
          <w:rFonts w:ascii="Cambria" w:hAnsi="Cambria"/>
          <w:b/>
          <w:bCs/>
        </w:rPr>
        <w:t xml:space="preserve">80 %</w:t>
      </w:r>
      <w:r>
        <w:rPr>
          <w:rFonts w:ascii="Cambria" w:hAnsi="Cambria"/>
        </w:rPr>
        <w:t xml:space="preserve">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Normativa: </w:t>
      </w:r>
      <w:r>
        <w:rPr>
          <w:rFonts w:ascii="Cambria" w:hAnsi="Cambria"/>
          <w:b/>
          <w:bCs/>
        </w:rPr>
        <w:t xml:space="preserve">Reglamento (UE) 2023/1115 (EUDR)</w:t>
      </w:r>
      <w:r>
        <w:rPr>
          <w:rFonts w:ascii="Cambria" w:hAnsi="Cambria"/>
        </w:rPr>
        <w:t xml:space="preserve">, deforestación. </w:t>
      </w:r>
      <w:r>
        <w:rPr>
          <w:rFonts w:ascii="Cambria" w:hAnsi="Cambria"/>
          <w:b/>
          <w:bCs/>
        </w:rPr>
        <w:t xml:space="preserve">Reglamento (UE) 2018/852</w:t>
      </w:r>
      <w:r>
        <w:rPr>
          <w:rFonts w:ascii="Cambria" w:hAnsi="Cambria"/>
        </w:rPr>
        <w:t xml:space="preserve">, objetivos de reciclado de envases. </w:t>
      </w:r>
      <w:r>
        <w:rPr>
          <w:rFonts w:ascii="Cambria" w:hAnsi="Cambria"/>
          <w:b/>
          <w:bCs/>
        </w:rPr>
        <w:t xml:space="preserve">Real Decreto 1055/2022</w:t>
      </w:r>
      <w:r>
        <w:rPr>
          <w:rFonts w:ascii="Cambria" w:hAnsi="Cambria"/>
        </w:rPr>
        <w:t xml:space="preserve">, envases y residuos de envases.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Productos cerámicos</w:t>
      </w:r>
      <w:r>
        <w:rPr>
          <w:rFonts w:ascii="Cambria" w:hAnsi="Cambria"/>
        </w:rPr>
        <w:t xml:space="preserve">: subsectores, pavimentos y revestimientos, sanitarios, ladrillos y tejas, refractarios, cerámica técnica y artículos domésticos y ornamentales.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Más del </w:t>
      </w:r>
      <w:r>
        <w:rPr>
          <w:rFonts w:ascii="Cambria" w:hAnsi="Cambria"/>
          <w:b/>
          <w:bCs/>
        </w:rPr>
        <w:t xml:space="preserve">90 %</w:t>
      </w:r>
      <w:r>
        <w:rPr>
          <w:rFonts w:ascii="Cambria" w:hAnsi="Cambria"/>
        </w:rPr>
        <w:t xml:space="preserve"> de la producción se concentra en Castellón, representada por </w:t>
      </w:r>
      <w:r>
        <w:rPr>
          <w:rFonts w:ascii="Cambria" w:hAnsi="Cambria"/>
          <w:b/>
          <w:bCs/>
        </w:rPr>
        <w:t xml:space="preserve">ASCER</w:t>
      </w:r>
      <w:r>
        <w:rPr>
          <w:rFonts w:ascii="Cambria" w:hAnsi="Cambria"/>
        </w:rPr>
        <w:t xml:space="preserve">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DATACOMEX: superávit próximo a </w:t>
      </w:r>
      <w:r>
        <w:rPr>
          <w:rFonts w:ascii="Cambria" w:hAnsi="Cambria"/>
          <w:b/>
          <w:bCs/>
        </w:rPr>
        <w:t xml:space="preserve">4.500 M€</w:t>
      </w:r>
      <w:r>
        <w:rPr>
          <w:rFonts w:ascii="Cambria" w:hAnsi="Cambria"/>
        </w:rPr>
        <w:t xml:space="preserve">, exportaciones a la UE, Estados Unidos y Oriente Medio, importaciones de Italia, Alemania y China. Sanitarios: Roca y Gala.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Normativa: </w:t>
      </w:r>
      <w:r>
        <w:rPr>
          <w:rFonts w:ascii="Cambria" w:hAnsi="Cambria"/>
          <w:b/>
          <w:bCs/>
        </w:rPr>
        <w:t xml:space="preserve">Reglamento (UE) 305/2011 (RPC)</w:t>
      </w:r>
      <w:r>
        <w:rPr>
          <w:rFonts w:ascii="Cambria" w:hAnsi="Cambria"/>
        </w:rPr>
        <w:t xml:space="preserve">, marcado CE en construcción, progresivamente sustituido por el </w:t>
      </w:r>
      <w:r>
        <w:rPr>
          <w:rFonts w:ascii="Cambria" w:hAnsi="Cambria"/>
          <w:b/>
          <w:bCs/>
        </w:rPr>
        <w:t xml:space="preserve">Reglamento (UE) 2024/3110</w:t>
      </w:r>
      <w:r>
        <w:rPr>
          <w:rFonts w:ascii="Cambria" w:hAnsi="Cambria"/>
        </w:rPr>
        <w:t xml:space="preserve">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5. QUÍMICOS, PLÁSTICOS Y MEDICAMENTOS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Productos químicos</w:t>
      </w:r>
      <w:r>
        <w:rPr>
          <w:rFonts w:ascii="Cambria" w:hAnsi="Cambria"/>
        </w:rPr>
        <w:t xml:space="preserve">: tres ramas, química básica, química de la salud (farmacéuticos, fito y zoosanitarios) y química para industria y consumo.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Cataluña concentra el </w:t>
      </w:r>
      <w:r>
        <w:rPr>
          <w:rFonts w:ascii="Cambria" w:hAnsi="Cambria"/>
          <w:b/>
          <w:bCs/>
        </w:rPr>
        <w:t xml:space="preserve">42 %</w:t>
      </w:r>
      <w:r>
        <w:rPr>
          <w:rFonts w:ascii="Cambria" w:hAnsi="Cambria"/>
        </w:rPr>
        <w:t xml:space="preserve"> de la producción nacional. España, quinto productor de la UE.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INE 2024: </w:t>
      </w:r>
      <w:r>
        <w:rPr>
          <w:rFonts w:ascii="Cambria" w:hAnsi="Cambria"/>
          <w:b/>
          <w:bCs/>
        </w:rPr>
        <w:t xml:space="preserve">6,5 %</w:t>
      </w:r>
      <w:r>
        <w:rPr>
          <w:rFonts w:ascii="Cambria" w:hAnsi="Cambria"/>
        </w:rPr>
        <w:t xml:space="preserve"> de la producción industrial, </w:t>
      </w:r>
      <w:r>
        <w:rPr>
          <w:rFonts w:ascii="Cambria" w:hAnsi="Cambria"/>
          <w:b/>
          <w:bCs/>
        </w:rPr>
        <w:t xml:space="preserve">4,4 %</w:t>
      </w:r>
      <w:r>
        <w:rPr>
          <w:rFonts w:ascii="Cambria" w:hAnsi="Cambria"/>
        </w:rPr>
        <w:t xml:space="preserve"> del empleo y </w:t>
      </w:r>
      <w:r>
        <w:rPr>
          <w:rFonts w:ascii="Cambria" w:hAnsi="Cambria"/>
          <w:b/>
          <w:bCs/>
        </w:rPr>
        <w:t xml:space="preserve">5,7 %</w:t>
      </w:r>
      <w:r>
        <w:rPr>
          <w:rFonts w:ascii="Cambria" w:hAnsi="Cambria"/>
        </w:rPr>
        <w:t xml:space="preserve"> del VAB industrial. Saldo deficitario.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Normativa: </w:t>
      </w:r>
      <w:r>
        <w:rPr>
          <w:rFonts w:ascii="Cambria" w:hAnsi="Cambria"/>
          <w:b/>
          <w:bCs/>
        </w:rPr>
        <w:t xml:space="preserve">Convenio de Rotterdam (1998)</w:t>
      </w:r>
      <w:r>
        <w:rPr>
          <w:rFonts w:ascii="Cambria" w:hAnsi="Cambria"/>
        </w:rPr>
        <w:t xml:space="preserve">, plaguicidas y químicos peligrosos. </w:t>
      </w:r>
      <w:r>
        <w:rPr>
          <w:rFonts w:ascii="Cambria" w:hAnsi="Cambria"/>
          <w:b/>
          <w:bCs/>
        </w:rPr>
        <w:t xml:space="preserve">Reglamento (CE) 1907/2006 (REACH)</w:t>
      </w:r>
      <w:r>
        <w:rPr>
          <w:rFonts w:ascii="Cambria" w:hAnsi="Cambria"/>
        </w:rPr>
        <w:t xml:space="preserve">. </w:t>
      </w:r>
      <w:r>
        <w:rPr>
          <w:rFonts w:ascii="Cambria" w:hAnsi="Cambria"/>
          <w:b/>
          <w:bCs/>
        </w:rPr>
        <w:t xml:space="preserve">Reglamento (CE) 1272/2008</w:t>
      </w:r>
      <w:r>
        <w:rPr>
          <w:rFonts w:ascii="Cambria" w:hAnsi="Cambria"/>
        </w:rPr>
        <w:t xml:space="preserve">, clasificación y etiquetado. </w:t>
      </w:r>
      <w:r>
        <w:rPr>
          <w:rFonts w:ascii="Cambria" w:hAnsi="Cambria"/>
          <w:b/>
          <w:bCs/>
        </w:rPr>
        <w:t xml:space="preserve">Reglamento (UE) 2019/1021</w:t>
      </w:r>
      <w:r>
        <w:rPr>
          <w:rFonts w:ascii="Cambria" w:hAnsi="Cambria"/>
        </w:rPr>
        <w:t xml:space="preserve">, contaminantes orgánicos persistentes.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Plásticos</w:t>
      </w:r>
      <w:r>
        <w:rPr>
          <w:rFonts w:ascii="Cambria" w:hAnsi="Cambria"/>
        </w:rPr>
        <w:t xml:space="preserve">: familias principales PVC, PP, PS y PET, usados en envases, construcción y automoción.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Principales productores: China, Estados Unidos, Japón y Alemania. España, entre los principales europeos.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DATACOMEX: déficit cercano a </w:t>
      </w:r>
      <w:r>
        <w:rPr>
          <w:rFonts w:ascii="Cambria" w:hAnsi="Cambria"/>
          <w:b/>
          <w:bCs/>
        </w:rPr>
        <w:t xml:space="preserve">2.000 M€</w:t>
      </w:r>
      <w:r>
        <w:rPr>
          <w:rFonts w:ascii="Cambria" w:hAnsi="Cambria"/>
        </w:rPr>
        <w:t xml:space="preserve">. Exportaciones a Francia, Portugal, Italia y Alemania.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Normativa: </w:t>
      </w:r>
      <w:r>
        <w:rPr>
          <w:rFonts w:ascii="Cambria" w:hAnsi="Cambria"/>
          <w:b/>
          <w:bCs/>
        </w:rPr>
        <w:t xml:space="preserve">Directiva (UE) 2019/904</w:t>
      </w:r>
      <w:r>
        <w:rPr>
          <w:rFonts w:ascii="Cambria" w:hAnsi="Cambria"/>
        </w:rPr>
        <w:t xml:space="preserve">, plásticos de un solo uso. </w:t>
      </w:r>
      <w:r>
        <w:rPr>
          <w:rFonts w:ascii="Cambria" w:hAnsi="Cambria"/>
          <w:b/>
          <w:bCs/>
        </w:rPr>
        <w:t xml:space="preserve">Reglamento (UE) 2022/1616</w:t>
      </w:r>
      <w:r>
        <w:rPr>
          <w:rFonts w:ascii="Cambria" w:hAnsi="Cambria"/>
        </w:rPr>
        <w:t xml:space="preserve">, plástico reciclado en contacto alimentario. </w:t>
      </w:r>
      <w:r>
        <w:rPr>
          <w:rFonts w:ascii="Cambria" w:hAnsi="Cambria"/>
          <w:b/>
          <w:bCs/>
        </w:rPr>
        <w:t xml:space="preserve">Real Decreto 1055/2022</w:t>
      </w:r>
      <w:r>
        <w:rPr>
          <w:rFonts w:ascii="Cambria" w:hAnsi="Cambria"/>
        </w:rPr>
        <w:t xml:space="preserve">, envases. </w:t>
      </w:r>
      <w:r>
        <w:rPr>
          <w:rFonts w:ascii="Cambria" w:hAnsi="Cambria"/>
          <w:b/>
          <w:bCs/>
        </w:rPr>
        <w:t xml:space="preserve">Reglamento (UE) 2025/40 (PPWR)</w:t>
      </w:r>
      <w:r>
        <w:rPr>
          <w:rFonts w:ascii="Cambria" w:hAnsi="Cambria"/>
        </w:rPr>
        <w:t xml:space="preserve">, envases y residuos de envases.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Medicamentos</w:t>
      </w:r>
      <w:r>
        <w:rPr>
          <w:rFonts w:ascii="Cambria" w:hAnsi="Cambria"/>
        </w:rPr>
        <w:t xml:space="preserve">: dividido en genéricos e innovadores según patentes.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industria farmacéutica concentra el </w:t>
      </w:r>
      <w:r>
        <w:rPr>
          <w:rFonts w:ascii="Cambria" w:hAnsi="Cambria"/>
          <w:b/>
          <w:bCs/>
        </w:rPr>
        <w:t xml:space="preserve">18 %</w:t>
      </w:r>
      <w:r>
        <w:rPr>
          <w:rFonts w:ascii="Cambria" w:hAnsi="Cambria"/>
        </w:rPr>
        <w:t xml:space="preserve"> del gasto en I+D+i empresarial español.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España, quinta en consumo y sexta en producción de la UE. Actividad concentrada en Madrid y Cataluña.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INE: </w:t>
      </w:r>
      <w:r>
        <w:rPr>
          <w:rFonts w:ascii="Cambria" w:hAnsi="Cambria"/>
          <w:b/>
          <w:bCs/>
        </w:rPr>
        <w:t xml:space="preserve">2,7 %</w:t>
      </w:r>
      <w:r>
        <w:rPr>
          <w:rFonts w:ascii="Cambria" w:hAnsi="Cambria"/>
        </w:rPr>
        <w:t xml:space="preserve"> de la producción industrial, </w:t>
      </w:r>
      <w:r>
        <w:rPr>
          <w:rFonts w:ascii="Cambria" w:hAnsi="Cambria"/>
          <w:b/>
          <w:bCs/>
        </w:rPr>
        <w:t xml:space="preserve">2,6 %</w:t>
      </w:r>
      <w:r>
        <w:rPr>
          <w:rFonts w:ascii="Cambria" w:hAnsi="Cambria"/>
        </w:rPr>
        <w:t xml:space="preserve"> del empleo y </w:t>
      </w:r>
      <w:r>
        <w:rPr>
          <w:rFonts w:ascii="Cambria" w:hAnsi="Cambria"/>
          <w:b/>
          <w:bCs/>
        </w:rPr>
        <w:t xml:space="preserve">3,8 %</w:t>
      </w:r>
      <w:r>
        <w:rPr>
          <w:rFonts w:ascii="Cambria" w:hAnsi="Cambria"/>
        </w:rPr>
        <w:t xml:space="preserve"> del VAB industrial. Saldo negativo estructural, con crecimiento de importaciones y exportaciones cercano al </w:t>
      </w:r>
      <w:r>
        <w:rPr>
          <w:rFonts w:ascii="Cambria" w:hAnsi="Cambria"/>
          <w:b/>
          <w:bCs/>
        </w:rPr>
        <w:t xml:space="preserve">15 %</w:t>
      </w:r>
      <w:r>
        <w:rPr>
          <w:rFonts w:ascii="Cambria" w:hAnsi="Cambria"/>
        </w:rPr>
        <w:t xml:space="preserve">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Normativa: </w:t>
      </w:r>
      <w:r>
        <w:rPr>
          <w:rFonts w:ascii="Cambria" w:hAnsi="Cambria"/>
          <w:b/>
          <w:bCs/>
        </w:rPr>
        <w:t xml:space="preserve">Real Decreto Legislativo 1/2015</w:t>
      </w:r>
      <w:r>
        <w:rPr>
          <w:rFonts w:ascii="Cambria" w:hAnsi="Cambria"/>
        </w:rPr>
        <w:t xml:space="preserve">, garantías y uso racional del medicamento. </w:t>
      </w:r>
      <w:r>
        <w:rPr>
          <w:rFonts w:ascii="Cambria" w:hAnsi="Cambria"/>
          <w:b/>
          <w:bCs/>
        </w:rPr>
        <w:t xml:space="preserve">Real Decreto 824/2010</w:t>
      </w:r>
      <w:r>
        <w:rPr>
          <w:rFonts w:ascii="Cambria" w:hAnsi="Cambria"/>
        </w:rPr>
        <w:t xml:space="preserve">, laboratorios farmacéuticos. </w:t>
      </w:r>
      <w:r>
        <w:rPr>
          <w:rFonts w:ascii="Cambria" w:hAnsi="Cambria"/>
          <w:b/>
          <w:bCs/>
        </w:rPr>
        <w:t xml:space="preserve">Orden SPI/2136/2011</w:t>
      </w:r>
      <w:r>
        <w:rPr>
          <w:rFonts w:ascii="Cambria" w:hAnsi="Cambria"/>
        </w:rPr>
        <w:t xml:space="preserve">, control sanitario en frontera. </w:t>
      </w:r>
      <w:r>
        <w:rPr>
          <w:rFonts w:ascii="Cambria" w:hAnsi="Cambria"/>
          <w:b/>
          <w:bCs/>
        </w:rPr>
        <w:t xml:space="preserve">Directiva 2001/83/CE</w:t>
      </w:r>
      <w:r>
        <w:rPr>
          <w:rFonts w:ascii="Cambria" w:hAnsi="Cambria"/>
        </w:rPr>
        <w:t xml:space="preserve">, Código Comunitario de Medicamentos. </w:t>
      </w:r>
      <w:r>
        <w:rPr>
          <w:rFonts w:ascii="Cambria" w:hAnsi="Cambria"/>
          <w:b/>
          <w:bCs/>
        </w:rPr>
        <w:t xml:space="preserve">Reglamento (CE) 726/2004</w:t>
      </w:r>
      <w:r>
        <w:rPr>
          <w:rFonts w:ascii="Cambria" w:hAnsi="Cambria"/>
        </w:rPr>
        <w:t xml:space="preserve">, crea la </w:t>
      </w:r>
      <w:r>
        <w:rPr>
          <w:rFonts w:ascii="Cambria" w:hAnsi="Cambria"/>
          <w:b/>
          <w:bCs/>
        </w:rPr>
        <w:t xml:space="preserve">EMA</w:t>
      </w:r>
      <w:r>
        <w:rPr>
          <w:rFonts w:ascii="Cambria" w:hAnsi="Cambria"/>
        </w:rPr>
        <w:t xml:space="preserve">. </w:t>
      </w:r>
      <w:r>
        <w:rPr>
          <w:rFonts w:ascii="Cambria" w:hAnsi="Cambria"/>
          <w:b/>
          <w:bCs/>
        </w:rPr>
        <w:t xml:space="preserve">Reglamento (UE) 536/2014</w:t>
      </w:r>
      <w:r>
        <w:rPr>
          <w:rFonts w:ascii="Cambria" w:hAnsi="Cambria"/>
        </w:rPr>
        <w:t xml:space="preserve">, ensayos clínicos. </w:t>
      </w:r>
      <w:r>
        <w:rPr>
          <w:rFonts w:ascii="Cambria" w:hAnsi="Cambria"/>
          <w:b/>
          <w:bCs/>
        </w:rPr>
        <w:t xml:space="preserve">Reglamento (UE) 2022/123</w:t>
      </w:r>
      <w:r>
        <w:rPr>
          <w:rFonts w:ascii="Cambria" w:hAnsi="Cambria"/>
        </w:rPr>
        <w:t xml:space="preserve">, mandato ampliado de la EMA.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6. PESTICIDAS Y CONCLUSIÓN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Los plaguicidas previenen, controlan o eliminan organismos nocivos para vegetales. El </w:t>
      </w:r>
      <w:r>
        <w:rPr>
          <w:rFonts w:ascii="Cambria" w:hAnsi="Cambria"/>
          <w:b/>
          <w:bCs/>
        </w:rPr>
        <w:t xml:space="preserve">Real Decreto 3349/1983</w:t>
      </w:r>
      <w:r>
        <w:rPr>
          <w:rFonts w:ascii="Cambria" w:hAnsi="Cambria"/>
        </w:rPr>
        <w:t xml:space="preserve"> define sustancias activas y preparados.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Clasificación por acción: insecticidas y acaricidas, fungicidas, nematocidas y fumigantes, herbicidas, fitorreguladores, molusquicidas y rodenticidas, tratamiento postcosecha y protectores de madera.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DATACOMEX: déficit comercial en 2025. Mercado concentrado en Bayer, Syngenta, BASF, Corteva y Fertiberia.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glifosato fue renovado por la UE en 2023 por diez años, hasta </w:t>
      </w:r>
      <w:r>
        <w:rPr>
          <w:rFonts w:ascii="Cambria" w:hAnsi="Cambria"/>
          <w:b/>
          <w:bCs/>
        </w:rPr>
        <w:t xml:space="preserve">2033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Normativa: </w:t>
      </w:r>
      <w:r>
        <w:rPr>
          <w:rFonts w:ascii="Cambria" w:hAnsi="Cambria"/>
          <w:b/>
          <w:bCs/>
        </w:rPr>
        <w:t xml:space="preserve">Reglamento (CE) 1107/2009</w:t>
      </w:r>
      <w:r>
        <w:rPr>
          <w:rFonts w:ascii="Cambria" w:hAnsi="Cambria"/>
        </w:rPr>
        <w:t xml:space="preserve">, comercialización de fitosanitarios. </w:t>
      </w:r>
      <w:r>
        <w:rPr>
          <w:rFonts w:ascii="Cambria" w:hAnsi="Cambria"/>
          <w:b/>
          <w:bCs/>
        </w:rPr>
        <w:t xml:space="preserve">Reglamento (CE) 396/2005</w:t>
      </w:r>
      <w:r>
        <w:rPr>
          <w:rFonts w:ascii="Cambria" w:hAnsi="Cambria"/>
        </w:rPr>
        <w:t xml:space="preserve">, límites máximos de residuos. </w:t>
      </w:r>
      <w:r>
        <w:rPr>
          <w:rFonts w:ascii="Cambria" w:hAnsi="Cambria"/>
          <w:b/>
          <w:bCs/>
        </w:rPr>
        <w:t xml:space="preserve">Directiva 2009/128/CE</w:t>
      </w:r>
      <w:r>
        <w:rPr>
          <w:rFonts w:ascii="Cambria" w:hAnsi="Cambria"/>
        </w:rPr>
        <w:t xml:space="preserve">, uso sostenible de plaguicidas, aplicada mediante el Plan de Acción Nacional (PAN). </w:t>
      </w:r>
      <w:r>
        <w:rPr>
          <w:rFonts w:ascii="Cambria" w:hAnsi="Cambria"/>
          <w:b/>
          <w:bCs/>
        </w:rPr>
        <w:t xml:space="preserve">Convenio de Estocolmo (2001)</w:t>
      </w:r>
      <w:r>
        <w:rPr>
          <w:rFonts w:ascii="Cambria" w:hAnsi="Cambria"/>
        </w:rPr>
        <w:t xml:space="preserve">, contaminantes orgánicos persistentes.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conjunto de las semimanufacturas es estratégico como proveedor de bienes intermedios y comparte retos comunes de globalización, transición ecológica y garantía de suministro de materias primas.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España combina sectores muy competitivos y exportadores, como cerámica, papel y metalurgia, con otros de elevada dependencia exterior, como química o farmacia, en un contexto de autonomía estratégica abierta impulsado por la UE.</w:t>
      </w:r>
    </w:p>
    <w:sectPr w:rsidR="00A65383" w:rsidRPr="007114D7">
      <w:footerReference w:type="default" r:id="rId900"/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43E737" w14:textId="77777777" w:rsidR="00F85B76" w:rsidRDefault="00F85B76" w:rsidP="00F85B76">
      <w:pPr>
        <w:spacing w:after="0" w:line="240" w:lineRule="auto"/>
      </w:pPr>
      <w:r>
        <w:separator/>
      </w:r>
    </w:p>
  </w:endnote>
  <w:endnote w:type="continuationSeparator" w:id="0">
    <w:p w14:paraId="147C91B0" w14:textId="77777777" w:rsidR="00F85B76" w:rsidRDefault="00F85B76" w:rsidP="00F85B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</w:fonts>
</file>

<file path=word/footer1.xml><?xml version="1.0" encoding="utf-8"?>
<w:ftr xmlns:w="http://schemas.openxmlformats.org/wordprocessingml/2006/main">
  <w:p>
    <w:pPr>
      <w:pStyle w:val="Piedepgina"/>
      <w:jc w:val="center"/>
      <w:rPr>
        <w:rFonts w:ascii="Palatino Linotype" w:eastAsia="Palatino Linotype" w:hAnsi="Palatino Linotype" w:cs="Palatino Linotype"/>
        <w:b/>
        <w:bCs/>
        <w:color w:val="000000"/>
        <w:sz w:val="24"/>
        <w:szCs w:val="24"/>
      </w:rPr>
    </w:pPr>
    <w:r>
      <w:rPr>
        <w:rFonts w:ascii="Palatino Linotype" w:eastAsia="Palatino Linotype" w:hAnsi="Palatino Linotype" w:cs="Palatino Linotype"/>
        <w:b/>
        <w:bCs/>
        <w:color w:val="000000"/>
        <w:sz w:val="24"/>
        <w:szCs w:val="24"/>
      </w:rPr>
      <w:t>SERGIO ARGUDO SANTIAGO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8BA500" w14:textId="77777777" w:rsidR="00F85B76" w:rsidRDefault="00F85B76" w:rsidP="00F85B76">
      <w:pPr>
        <w:spacing w:after="0" w:line="240" w:lineRule="auto"/>
      </w:pPr>
      <w:r>
        <w:separator/>
      </w:r>
    </w:p>
  </w:footnote>
  <w:footnote w:type="continuationSeparator" w:id="0">
    <w:p w14:paraId="5EBB74E5" w14:textId="77777777" w:rsidR="00F85B76" w:rsidRDefault="00F85B76" w:rsidP="00F85B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Encabezado"/>
      <w:jc w:val="both"/>
      <w:rPr>
        <w:rFonts w:ascii="Palatino Linotype" w:hAnsi="Palatino Linotype"/>
        <w:i/>
        <w:iCs/>
      </w:rPr>
    </w:pPr>
    <w:r>
      <w:rPr>
        <w:rFonts w:ascii="Palatino Linotype" w:hAnsi="Palatino Linotype"/>
        <w:i/>
        <w:iCs/>
      </w:rPr>
      <w:t xml:space="preserve">TEMA 15 – Sector de productos energéticos y materias primas: Petróleo y derivados. Gas. Carbón y electricidad. Minerales. Madera. Energías renovables.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82A5E"/>
    <w:multiLevelType w:val="multilevel"/>
    <w:tmpl w:val="17686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BA086D"/>
    <w:multiLevelType w:val="multilevel"/>
    <w:tmpl w:val="C6368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764527"/>
    <w:multiLevelType w:val="multilevel"/>
    <w:tmpl w:val="4484D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B9671D"/>
    <w:multiLevelType w:val="multilevel"/>
    <w:tmpl w:val="FF7AB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D145E70"/>
    <w:multiLevelType w:val="multilevel"/>
    <w:tmpl w:val="4CF84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8082AA3"/>
    <w:multiLevelType w:val="multilevel"/>
    <w:tmpl w:val="E6004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FE72879"/>
    <w:multiLevelType w:val="multilevel"/>
    <w:tmpl w:val="C3DA2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09A5A7F"/>
    <w:multiLevelType w:val="multilevel"/>
    <w:tmpl w:val="EE363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6890683"/>
    <w:multiLevelType w:val="multilevel"/>
    <w:tmpl w:val="F0EAD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33F2D55"/>
    <w:multiLevelType w:val="multilevel"/>
    <w:tmpl w:val="BCE41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AAC63FF"/>
    <w:multiLevelType w:val="multilevel"/>
    <w:tmpl w:val="10A62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C9A721B"/>
    <w:multiLevelType w:val="multilevel"/>
    <w:tmpl w:val="9654A2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E9D13DD"/>
    <w:multiLevelType w:val="multilevel"/>
    <w:tmpl w:val="88A6E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62984031">
    <w:abstractNumId w:val="7"/>
  </w:num>
  <w:num w:numId="2" w16cid:durableId="936329550">
    <w:abstractNumId w:val="4"/>
  </w:num>
  <w:num w:numId="3" w16cid:durableId="11223434">
    <w:abstractNumId w:val="0"/>
  </w:num>
  <w:num w:numId="4" w16cid:durableId="1698307743">
    <w:abstractNumId w:val="12"/>
  </w:num>
  <w:num w:numId="5" w16cid:durableId="1213886216">
    <w:abstractNumId w:val="11"/>
  </w:num>
  <w:num w:numId="6" w16cid:durableId="1037045334">
    <w:abstractNumId w:val="6"/>
  </w:num>
  <w:num w:numId="7" w16cid:durableId="638070075">
    <w:abstractNumId w:val="3"/>
  </w:num>
  <w:num w:numId="8" w16cid:durableId="616715768">
    <w:abstractNumId w:val="10"/>
  </w:num>
  <w:num w:numId="9" w16cid:durableId="1616985504">
    <w:abstractNumId w:val="9"/>
  </w:num>
  <w:num w:numId="10" w16cid:durableId="1055738181">
    <w:abstractNumId w:val="8"/>
  </w:num>
  <w:num w:numId="11" w16cid:durableId="928273277">
    <w:abstractNumId w:val="1"/>
  </w:num>
  <w:num w:numId="12" w16cid:durableId="919099836">
    <w:abstractNumId w:val="2"/>
  </w:num>
  <w:num w:numId="13" w16cid:durableId="52247863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5B76"/>
    <w:rsid w:val="00457D88"/>
    <w:rsid w:val="005803BC"/>
    <w:rsid w:val="00600D28"/>
    <w:rsid w:val="00656837"/>
    <w:rsid w:val="006A0D39"/>
    <w:rsid w:val="007114D7"/>
    <w:rsid w:val="00975640"/>
    <w:rsid w:val="00A65383"/>
    <w:rsid w:val="00A8675C"/>
    <w:rsid w:val="00BB1DEC"/>
    <w:rsid w:val="00C12CFD"/>
    <w:rsid w:val="00D45530"/>
    <w:rsid w:val="00E15422"/>
    <w:rsid w:val="00E7657A"/>
    <w:rsid w:val="00EE6C5F"/>
    <w:rsid w:val="00F85B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DAF6C1"/>
  <w15:chartTrackingRefBased/>
  <w15:docId w15:val="{B64D109C-3694-4C93-A841-AE8DEB4F80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85B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85B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85B7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85B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85B7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85B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85B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85B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85B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8675C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F85B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F85B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85B7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85B7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85B7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85B7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85B7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85B7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85B7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85B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85B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85B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85B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85B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85B76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sid w:val="00F85B7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85B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85B7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85B76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F85B7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85B76"/>
  </w:style>
  <w:style w:type="paragraph" w:styleId="Piedepgina">
    <w:name w:val="footer"/>
    <w:basedOn w:val="Normal"/>
    <w:link w:val="PiedepginaCar"/>
    <w:uiPriority w:val="99"/>
    <w:unhideWhenUsed/>
    <w:rsid w:val="00F85B7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85B7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90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6</Pages>
  <Words>1112</Words>
  <Characters>6119</Characters>
  <Application>Microsoft Office Word</Application>
  <DocSecurity>0</DocSecurity>
  <Lines>50</Lines>
  <Paragraphs>14</Paragraphs>
  <ScaleCrop>false</ScaleCrop>
  <Company/>
  <LinksUpToDate>false</LinksUpToDate>
  <CharactersWithSpaces>7217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Argudo Santiago, Sergio</dc:creator>
  <cp:keywords/>
  <dc:description/>
  <cp:lastModifiedBy>Argudo Santiago, Sergio</cp:lastModifiedBy>
  <cp:revision>9</cp:revision>
  <dcterms:created xsi:type="dcterms:W3CDTF">2025-11-21T17:54:00Z</dcterms:created>
  <dcterms:modified xsi:type="dcterms:W3CDTF">2026-01-14T14:24:00Z</dcterms:modified>
</cp:coreProperties>
</file>