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industrialización de los años 60 generó una estructura productiva sesgada hacia sectores tradicionales intensivos en mano de obra, con dependencia energética y tecnológica y predominio de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entrada en la </w:t>
      </w:r>
      <w:r>
        <w:rPr>
          <w:rFonts w:ascii="Cambria" w:hAnsi="Cambria"/>
          <w:b/>
          <w:bCs/>
        </w:rPr>
        <w:t xml:space="preserve">CEE en 1986</w:t>
      </w:r>
      <w:r>
        <w:rPr>
          <w:rFonts w:ascii="Cambria" w:hAnsi="Cambria"/>
        </w:rPr>
        <w:t xml:space="preserve"> obligó a completar la reconversión industrial y a adaptarse al Mercado Único.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secundario representa el </w:t>
      </w:r>
      <w:r>
        <w:rPr>
          <w:rFonts w:ascii="Cambria" w:hAnsi="Cambria"/>
          <w:b/>
          <w:bCs/>
        </w:rPr>
        <w:t xml:space="preserve">14,2 %</w:t>
      </w:r>
      <w:r>
        <w:rPr>
          <w:rFonts w:ascii="Cambria" w:hAnsi="Cambria"/>
        </w:rPr>
        <w:t xml:space="preserve"> del PIB, el </w:t>
      </w:r>
      <w:r>
        <w:rPr>
          <w:rFonts w:ascii="Cambria" w:hAnsi="Cambria"/>
          <w:b/>
          <w:bCs/>
        </w:rPr>
        <w:t xml:space="preserve">15,6 %</w:t>
      </w:r>
      <w:r>
        <w:rPr>
          <w:rFonts w:ascii="Cambria" w:hAnsi="Cambria"/>
        </w:rPr>
        <w:t xml:space="preserve"> del VAB y el </w:t>
      </w:r>
      <w:r>
        <w:rPr>
          <w:rFonts w:ascii="Cambria" w:hAnsi="Cambria"/>
          <w:b/>
          <w:bCs/>
        </w:rPr>
        <w:t xml:space="preserve">11,4 %</w:t>
      </w:r>
      <w:r>
        <w:rPr>
          <w:rFonts w:ascii="Cambria" w:hAnsi="Cambria"/>
        </w:rPr>
        <w:t xml:space="preserve"> del empleo, según el Informe Anual 2025 de la Subdirección General de Estudios, Análisis y Planes de Actuación del MINTUR.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industria manufacturera se divide en bienes intermedios, bienes de equipo y bienes de consumo.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bienes de equipo</w:t>
      </w:r>
      <w:r>
        <w:rPr>
          <w:rFonts w:ascii="Cambria" w:hAnsi="Cambria"/>
        </w:rPr>
        <w:t xml:space="preserve"> son máquinas, instalaciones o productos destinados a producir otros bienes o servicios, con nivel tecnológico medio-alto y elevado valor añadido.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(incluido automóvil) supone en torno al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del VAB y del empleo industrial, y es motor exportador, con tasa de cobertura del </w:t>
      </w:r>
      <w:r>
        <w:rPr>
          <w:rFonts w:ascii="Cambria" w:hAnsi="Cambria"/>
          <w:b/>
          <w:bCs/>
        </w:rPr>
        <w:t xml:space="preserve">80-90 %</w:t>
      </w:r>
      <w:r>
        <w:rPr>
          <w:rFonts w:ascii="Cambria" w:hAnsi="Cambria"/>
        </w:rPr>
        <w:t xml:space="preserve"> 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estructura empresarial combina una decena de grandes grupos autóctonos con pymes y filiales de multinacionales.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LEGISLACIÓN GENERAL DEL SECTOR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desarrollo normativo corresponde a la Subdirección General de Calidad y Seguridad Industrial del MINTUR.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21/1992, de Industria</w:t>
      </w:r>
      <w:r>
        <w:rPr>
          <w:rFonts w:ascii="Cambria" w:hAnsi="Cambria"/>
        </w:rPr>
        <w:t xml:space="preserve">: adapta la actividad industrial a la normativa del Mercado Único europeo.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559/2010</w:t>
      </w:r>
      <w:r>
        <w:rPr>
          <w:rFonts w:ascii="Cambria" w:hAnsi="Cambria"/>
        </w:rPr>
        <w:t xml:space="preserve">: Reglamento del Registro Integrado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1072/2015</w:t>
      </w:r>
      <w:r>
        <w:rPr>
          <w:rFonts w:ascii="Cambria" w:hAnsi="Cambria"/>
        </w:rPr>
        <w:t xml:space="preserve">: Reglamento de la Infraestructura para la Calidad y la Seguridad Industrial, reconoce a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como organismo de normalización y 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como entidad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1468/1988</w:t>
      </w:r>
      <w:r>
        <w:rPr>
          <w:rFonts w:ascii="Cambria" w:hAnsi="Cambria"/>
        </w:rPr>
        <w:t xml:space="preserve">, de Etiquetado, Presentación y Publicidad de los Productos Industriales: exige etiquetado real y veraz con datos mínimos (denominación, composición, contenido neto, lote, empresa, origen, alérgenos, etc.). Los productos para exportación sin este etiquetado deben identificarse por si retornan al mercado interior.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1406/1989</w:t>
      </w:r>
      <w:r>
        <w:rPr>
          <w:rFonts w:ascii="Cambria" w:hAnsi="Cambria"/>
        </w:rPr>
        <w:t xml:space="preserve">: limita sustancias como benceno, amianto, dimetilfumarato y pentaclorofenol, y prohíbe termómetros de mercurio desde 2009.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330/2008</w:t>
      </w:r>
      <w:r>
        <w:rPr>
          <w:rFonts w:ascii="Cambria" w:hAnsi="Cambria"/>
        </w:rPr>
        <w:t xml:space="preserve">, de control de importación en materia de seguridad: a partir del sistema </w:t>
      </w:r>
      <w:r>
        <w:rPr>
          <w:rFonts w:ascii="Cambria" w:hAnsi="Cambria"/>
          <w:b/>
          <w:bCs/>
        </w:rPr>
        <w:t xml:space="preserve">RAPEX</w:t>
      </w:r>
      <w:r>
        <w:rPr>
          <w:rFonts w:ascii="Cambria" w:hAnsi="Cambria"/>
        </w:rPr>
        <w:t xml:space="preserve">, encomienda al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el control de conformidad previo al despacho aduanero. La lista de productos sujetos se recoge en la </w:t>
      </w:r>
      <w:r>
        <w:rPr>
          <w:rFonts w:ascii="Cambria" w:hAnsi="Cambria"/>
          <w:b/>
          <w:bCs/>
        </w:rPr>
        <w:t xml:space="preserve">Orden PJC/161/2026</w:t>
      </w:r>
      <w:r>
        <w:rPr>
          <w:rFonts w:ascii="Cambria" w:hAnsi="Cambria"/>
        </w:rPr>
        <w:t xml:space="preserve"> (drones, puericultura, textil, calzado, juguetes, EPIs, material eléctrico, muebles y madera).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993/2022</w:t>
      </w:r>
      <w:r>
        <w:rPr>
          <w:rFonts w:ascii="Cambria" w:hAnsi="Cambria"/>
        </w:rPr>
        <w:t xml:space="preserve">: control SOIVRE de aparatos eléctricos y electrónicos en materia de sustancias peligrosas (</w:t>
      </w:r>
      <w:r>
        <w:rPr>
          <w:rFonts w:ascii="Cambria" w:hAnsi="Cambria"/>
          <w:b/>
          <w:bCs/>
        </w:rPr>
        <w:t xml:space="preserve">RoHS</w:t>
      </w:r>
      <w:r>
        <w:rPr>
          <w:rFonts w:ascii="Cambria" w:hAnsi="Cambria"/>
        </w:rPr>
        <w:t xml:space="preserve">) y del Registro Integrado Industrial de AEEs, pilas y acumuladores.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: requisitos de acreditación y principios del marcado CE, hoy sustituido en vigilancia de mercado por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, de vigilancia del mercado: refuerza los controles en todos los escalones y a productos de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2019/515</w:t>
      </w:r>
      <w:r>
        <w:rPr>
          <w:rFonts w:ascii="Cambria" w:hAnsi="Cambria"/>
        </w:rPr>
        <w:t xml:space="preserve">: reconocimiento mutuo de mercancías comercializadas legalmente en otro Estado miembro.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: marco común de comercialización, base del </w:t>
      </w:r>
      <w:r>
        <w:rPr>
          <w:rFonts w:ascii="Cambria" w:hAnsi="Cambria"/>
          <w:b/>
          <w:bCs/>
        </w:rPr>
        <w:t xml:space="preserve">Nuevo Marco Legislativo (NML)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2023/988</w:t>
      </w:r>
      <w:r>
        <w:rPr>
          <w:rFonts w:ascii="Cambria" w:hAnsi="Cambria"/>
        </w:rPr>
        <w:t xml:space="preserve">, de Seguridad General de Productos (RGSP): aplicación directa desde el </w:t>
      </w:r>
      <w:r>
        <w:rPr>
          <w:rFonts w:ascii="Cambria" w:hAnsi="Cambria"/>
          <w:b/>
          <w:bCs/>
        </w:rPr>
        <w:t xml:space="preserve">13 de diciembre de 2024</w:t>
      </w:r>
      <w:r>
        <w:rPr>
          <w:rFonts w:ascii="Cambria" w:hAnsi="Cambria"/>
        </w:rPr>
        <w:t xml:space="preserve">, refuerza el sistema </w:t>
      </w:r>
      <w:r>
        <w:rPr>
          <w:rFonts w:ascii="Cambria" w:hAnsi="Cambria"/>
          <w:b/>
          <w:bCs/>
        </w:rPr>
        <w:t xml:space="preserve">Safety Gate</w:t>
      </w:r>
      <w:r>
        <w:rPr>
          <w:rFonts w:ascii="Cambria" w:hAnsi="Cambria"/>
        </w:rPr>
        <w:t xml:space="preserve"> (sucesor de RAPEX) y las obligaciones de los mercados en línea.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1907/2006 – REACH</w:t>
      </w:r>
      <w:r>
        <w:rPr>
          <w:rFonts w:ascii="Cambria" w:hAnsi="Cambria"/>
        </w:rPr>
        <w:t xml:space="preserve">: restringe sustancias químicas peligrosas (Anexo XVII) y crea la </w:t>
      </w:r>
      <w:r>
        <w:rPr>
          <w:rFonts w:ascii="Cambria" w:hAnsi="Cambria"/>
          <w:b/>
          <w:bCs/>
        </w:rPr>
        <w:t xml:space="preserve">ECHA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2023/2411</w:t>
      </w:r>
      <w:r>
        <w:rPr>
          <w:rFonts w:ascii="Cambria" w:hAnsi="Cambria"/>
        </w:rPr>
        <w:t xml:space="preserve">, de Indicaciones Geográficas de productos artesanales e industriales: extiende la protección de IG a productos no alimentarios, aplicable desde 2025.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Directivas de Nuevo Enfoque y Nuevo Marco Legislativo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Directivas de Nuevo Enfoque</w:t>
      </w:r>
      <w:r>
        <w:rPr>
          <w:rFonts w:ascii="Cambria" w:hAnsi="Cambria"/>
        </w:rPr>
        <w:t xml:space="preserve"> (desde 1985): fijan requisitos esenciales de seguridad, procedimientos de evaluación de conformidad y el marcado CE.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armonizadas</w:t>
      </w:r>
      <w:r>
        <w:rPr>
          <w:rFonts w:ascii="Cambria" w:hAnsi="Cambria"/>
        </w:rPr>
        <w:t xml:space="preserve">: elaboradas por </w:t>
      </w:r>
      <w:r>
        <w:rPr>
          <w:rFonts w:ascii="Cambria" w:hAnsi="Cambria"/>
          <w:b/>
          <w:bCs/>
        </w:rPr>
        <w:t xml:space="preserve">CEN, CENELEC y ETSI</w:t>
      </w:r>
      <w:r>
        <w:rPr>
          <w:rFonts w:ascii="Cambria" w:hAnsi="Cambria"/>
        </w:rPr>
        <w:t xml:space="preserve">, permiten demostrar de forma voluntaria la conformidad.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Nuevo Marco Legislativo (NML)</w:t>
      </w:r>
      <w:r>
        <w:rPr>
          <w:rFonts w:ascii="Cambria" w:hAnsi="Cambria"/>
        </w:rPr>
        <w:t xml:space="preserve"> actualiza las directivas de los 90 y 2000, con el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Decisión 768/2008/CE</w:t>
      </w:r>
      <w:r>
        <w:rPr>
          <w:rFonts w:ascii="Cambria" w:hAnsi="Cambria"/>
        </w:rPr>
        <w:t xml:space="preserve"> como disposiciones horizontales comunes.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SITUACIÓN Y ANÁLISIS DEL SECTOR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las exportaciones de bienes de equipo evolucionan positivamente, aunque las importaciones crecen a ritmo similar o superior en algunos segmentos.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tasa de cobertura ha pasado de niveles próximos al </w:t>
      </w:r>
      <w:r>
        <w:rPr>
          <w:rFonts w:ascii="Cambria" w:hAnsi="Cambria"/>
          <w:b/>
          <w:bCs/>
        </w:rPr>
        <w:t xml:space="preserve">40 %</w:t>
      </w:r>
      <w:r>
        <w:rPr>
          <w:rFonts w:ascii="Cambria" w:hAnsi="Cambria"/>
        </w:rPr>
        <w:t xml:space="preserve"> tras la adhesión a la CEE a valores del </w:t>
      </w:r>
      <w:r>
        <w:rPr>
          <w:rFonts w:ascii="Cambria" w:hAnsi="Cambria"/>
          <w:b/>
          <w:bCs/>
        </w:rPr>
        <w:t xml:space="preserve">80-90 %</w:t>
      </w:r>
      <w:r>
        <w:rPr>
          <w:rFonts w:ascii="Cambria" w:hAnsi="Cambria"/>
        </w:rPr>
        <w:t xml:space="preserve"> en los últimos años.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la pandemia de 2020, hubo recuperación en 2021-2022, condicionada después por tensiones geopolíticas, disrupciones de suministro y encarecimiento energético.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automatización, digitalización y transición energética impulsan nuevas oportunidades.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grandes compañías concentran producción, I+D y exportaciones, pese al predominio numérico de pymes.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principales polos internacionales de competitividad son Alemania, China, Japón y Corea del Sur.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MAQUINARIA PARA LA INDUSTRIA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Engloba hornos y quemadores, aparatos de elevación y manutención, ventilación, refrigeración, maquinaria agraria, maquinaria de manejo de fluidos y máquina-herramienta.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eléctricas</w:t>
      </w:r>
      <w:r>
        <w:rPr>
          <w:rFonts w:ascii="Cambria" w:hAnsi="Cambria"/>
        </w:rPr>
        <w:t xml:space="preserve">: transforman energía eléctrica en mecánica mediante motor eléctrico, con amplios rangos de potencia.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hidráulicas</w:t>
      </w:r>
      <w:r>
        <w:rPr>
          <w:rFonts w:ascii="Cambria" w:hAnsi="Cambria"/>
        </w:rPr>
        <w:t xml:space="preserve">: usan la presión de fluidos para energía mecánica de alta potencia y precisión.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térmicas</w:t>
      </w:r>
      <w:r>
        <w:rPr>
          <w:rFonts w:ascii="Cambria" w:hAnsi="Cambria"/>
        </w:rPr>
        <w:t xml:space="preserve">: transforman variaciones de temperatura en energía cinética (motores de vapor, turbinas de gas, combustión interna y reacción).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Estadística Estructural de Empresas del INE (2024), el subsector aporta el </w:t>
      </w:r>
      <w:r>
        <w:rPr>
          <w:rFonts w:ascii="Cambria" w:hAnsi="Cambria"/>
          <w:b/>
          <w:bCs/>
        </w:rPr>
        <w:t xml:space="preserve">4,5 %</w:t>
      </w:r>
      <w:r>
        <w:rPr>
          <w:rFonts w:ascii="Cambria" w:hAnsi="Cambria"/>
        </w:rPr>
        <w:t xml:space="preserve"> del VAB industrial y el </w:t>
      </w:r>
      <w:r>
        <w:rPr>
          <w:rFonts w:ascii="Cambria" w:hAnsi="Cambria"/>
          <w:b/>
          <w:bCs/>
        </w:rPr>
        <w:t xml:space="preserve">5,1 %</w:t>
      </w:r>
      <w:r>
        <w:rPr>
          <w:rFonts w:ascii="Cambria" w:hAnsi="Cambria"/>
        </w:rPr>
        <w:t xml:space="preserve"> del empleo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exterior presenta un déficit estructural de </w:t>
      </w:r>
      <w:r>
        <w:rPr>
          <w:rFonts w:ascii="Cambria" w:hAnsi="Cambria"/>
          <w:b/>
          <w:bCs/>
        </w:rPr>
        <w:t xml:space="preserve">-5.700 M€</w:t>
      </w:r>
      <w:r>
        <w:rPr>
          <w:rFonts w:ascii="Cambria" w:hAnsi="Cambria"/>
        </w:rPr>
        <w:t xml:space="preserve">, con exportaciones a UE, EEUU y Reino Unido, e importaciones desde Alemania, China, Italia, Francia y EEUU.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Destacan por competitividad el manejo de fluidos, la maquinaria textil y la agraria, en un contexto de Industria 4.0, gemelos digitales, robótica colaborativa e inteligencia artificial.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2006/42/CE</w:t>
      </w:r>
      <w:r>
        <w:rPr>
          <w:rFonts w:ascii="Cambria" w:hAnsi="Cambria"/>
        </w:rPr>
        <w:t xml:space="preserve">, de Maquinaria: requisitos esenciales de seguridad y salud para la libre circulación de máquinas, traspuesta por el </w:t>
      </w:r>
      <w:r>
        <w:rPr>
          <w:rFonts w:ascii="Cambria" w:hAnsi="Cambria"/>
          <w:b/>
          <w:bCs/>
        </w:rPr>
        <w:t xml:space="preserve">Real Decreto 1644/2008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2023/1230</w:t>
      </w:r>
      <w:r>
        <w:rPr>
          <w:rFonts w:ascii="Cambria" w:hAnsi="Cambria"/>
        </w:rPr>
        <w:t xml:space="preserve">, Nueva Directiva de Maquinaria: aplicable desde enero de 2027, incorpora ciberseguridad, IA y sistemas autónomos.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: vigilancia de mercado, refuerza controles fronterizos y obligaciones de operadores.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MÁQUINA-HERRAMIENTA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la definen como máquina con herramienta que sustituye el trabajo manual mediante procedimientos automáticos o semiautomáticos, principalmente en conformación y mecanizado de metales y madera.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de desbaste o arranque de viruta</w:t>
      </w:r>
      <w:r>
        <w:rPr>
          <w:rFonts w:ascii="Cambria" w:hAnsi="Cambria"/>
        </w:rPr>
        <w:t xml:space="preserve">: tornos, fresadoras, taladros.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de deformación o prensas</w:t>
      </w:r>
      <w:r>
        <w:rPr>
          <w:rFonts w:ascii="Cambria" w:hAnsi="Cambria"/>
        </w:rPr>
        <w:t xml:space="preserve">: prensas mecánicas e hidráulicas, cizallas, guillotinas, sierras.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Máquinas especiales</w:t>
      </w:r>
      <w:r>
        <w:rPr>
          <w:rFonts w:ascii="Cambria" w:hAnsi="Cambria"/>
        </w:rPr>
        <w:t xml:space="preserve">: láser, electroerosión, ultrasonido, plasma y robots industriales.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es el mayor productor y exportador mundial. España ocupa el </w:t>
      </w:r>
      <w:r>
        <w:rPr>
          <w:rFonts w:ascii="Cambria" w:hAnsi="Cambria"/>
          <w:b/>
          <w:bCs/>
        </w:rPr>
        <w:t xml:space="preserve">3.er lugar en la UE</w:t>
      </w:r>
      <w:r>
        <w:rPr>
          <w:rFonts w:ascii="Cambria" w:hAnsi="Cambria"/>
        </w:rPr>
        <w:t xml:space="preserve"> (tras Alemania e Italia) y la </w:t>
      </w:r>
      <w:r>
        <w:rPr>
          <w:rFonts w:ascii="Cambria" w:hAnsi="Cambria"/>
          <w:b/>
          <w:bCs/>
        </w:rPr>
        <w:t xml:space="preserve">9.ª posición mundial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producción se concentra en el </w:t>
      </w:r>
      <w:r>
        <w:rPr>
          <w:rFonts w:ascii="Cambria" w:hAnsi="Cambria"/>
          <w:b/>
          <w:bCs/>
        </w:rPr>
        <w:t xml:space="preserve">País Vasco (Gipuzkoa)</w:t>
      </w:r>
      <w:r>
        <w:rPr>
          <w:rFonts w:ascii="Cambria" w:hAnsi="Cambria"/>
        </w:rPr>
        <w:t xml:space="preserve">, con en torno al </w:t>
      </w:r>
      <w:r>
        <w:rPr>
          <w:rFonts w:ascii="Cambria" w:hAnsi="Cambria"/>
          <w:b/>
          <w:bCs/>
        </w:rPr>
        <w:t xml:space="preserve">70 %</w:t>
      </w:r>
      <w:r>
        <w:rPr>
          <w:rFonts w:ascii="Cambria" w:hAnsi="Cambria"/>
        </w:rPr>
        <w:t xml:space="preserve"> del total, bajo la </w:t>
      </w:r>
      <w:r>
        <w:rPr>
          <w:rFonts w:ascii="Cambria" w:hAnsi="Cambria"/>
          <w:b/>
          <w:bCs/>
        </w:rPr>
        <w:t xml:space="preserve">Asociación de Fabricantes de Máquinas-Herramienta (AFM)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 la facturación provisional fue de </w:t>
      </w:r>
      <w:r>
        <w:rPr>
          <w:rFonts w:ascii="Cambria" w:hAnsi="Cambria"/>
          <w:b/>
          <w:bCs/>
        </w:rPr>
        <w:t xml:space="preserve">2.207,62 M€</w:t>
      </w:r>
      <w:r>
        <w:rPr>
          <w:rFonts w:ascii="Cambria" w:hAnsi="Cambria"/>
        </w:rPr>
        <w:t xml:space="preserve">, un descenso del </w:t>
      </w:r>
      <w:r>
        <w:rPr>
          <w:rFonts w:ascii="Cambria" w:hAnsi="Cambria"/>
          <w:b/>
          <w:bCs/>
        </w:rPr>
        <w:t xml:space="preserve">4,99 %</w:t>
      </w:r>
      <w:r>
        <w:rPr>
          <w:rFonts w:ascii="Cambria" w:hAnsi="Cambria"/>
        </w:rPr>
        <w:t xml:space="preserve">, mientras las exportaciones apenas retrocedieron un </w:t>
      </w:r>
      <w:r>
        <w:rPr>
          <w:rFonts w:ascii="Cambria" w:hAnsi="Cambria"/>
          <w:b/>
          <w:bCs/>
        </w:rPr>
        <w:t xml:space="preserve">0,55 %</w:t>
      </w:r>
      <w:r>
        <w:rPr>
          <w:rFonts w:ascii="Cambria" w:hAnsi="Cambria"/>
        </w:rPr>
        <w:t xml:space="preserve">, hasta </w:t>
      </w:r>
      <w:r>
        <w:rPr>
          <w:rFonts w:ascii="Cambria" w:hAnsi="Cambria"/>
          <w:b/>
          <w:bCs/>
        </w:rPr>
        <w:t xml:space="preserve">1.739,88 M€</w:t>
      </w:r>
      <w:r>
        <w:rPr>
          <w:rFonts w:ascii="Cambria" w:hAnsi="Cambria"/>
        </w:rPr>
        <w:t xml:space="preserve">, y la captación de pedidos creció un </w:t>
      </w:r>
      <w:r>
        <w:rPr>
          <w:rFonts w:ascii="Cambria" w:hAnsi="Cambria"/>
          <w:b/>
          <w:bCs/>
        </w:rPr>
        <w:t xml:space="preserve">2,29 %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subsector de arranque de viruta creció (</w:t>
      </w:r>
      <w:r>
        <w:rPr>
          <w:rFonts w:ascii="Cambria" w:hAnsi="Cambria"/>
          <w:b/>
          <w:bCs/>
        </w:rPr>
        <w:t xml:space="preserve">+4,36 %</w:t>
      </w:r>
      <w:r>
        <w:rPr>
          <w:rFonts w:ascii="Cambria" w:hAnsi="Cambria"/>
        </w:rPr>
        <w:t xml:space="preserve"> facturación, </w:t>
      </w:r>
      <w:r>
        <w:rPr>
          <w:rFonts w:ascii="Cambria" w:hAnsi="Cambria"/>
          <w:b/>
          <w:bCs/>
        </w:rPr>
        <w:t xml:space="preserve">+2,14 %</w:t>
      </w:r>
      <w:r>
        <w:rPr>
          <w:rFonts w:ascii="Cambria" w:hAnsi="Cambria"/>
        </w:rPr>
        <w:t xml:space="preserve"> exportaciones), apoyado en aeronáutica, defensa, ferroviario y energía.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subsector de deformación cayó (</w:t>
      </w:r>
      <w:r>
        <w:rPr>
          <w:rFonts w:ascii="Cambria" w:hAnsi="Cambria"/>
          <w:b/>
          <w:bCs/>
        </w:rPr>
        <w:t xml:space="preserve">-21,21 %</w:t>
      </w:r>
      <w:r>
        <w:rPr>
          <w:rFonts w:ascii="Cambria" w:hAnsi="Cambria"/>
        </w:rPr>
        <w:t xml:space="preserve"> facturación, </w:t>
      </w:r>
      <w:r>
        <w:rPr>
          <w:rFonts w:ascii="Cambria" w:hAnsi="Cambria"/>
          <w:b/>
          <w:bCs/>
        </w:rPr>
        <w:t xml:space="preserve">-5,08 %</w:t>
      </w:r>
      <w:r>
        <w:rPr>
          <w:rFonts w:ascii="Cambria" w:hAnsi="Cambria"/>
        </w:rPr>
        <w:t xml:space="preserve"> exportaciones) por la ralentización de la automoción y la competencia internacional.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destinos exportadores: Estados Unidos, Alemania, México, Italia y China.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creciente peso de China, con capacidades tecnológicas reforzadas y precios competitivos, es uno de los mayores desafíos.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reto de 2026 pasa por innovación, especialización en alto valor añadido, diversificación de mercados y apoyo público a I+D y digitalización.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2006/42/CE</w:t>
      </w:r>
      <w:r>
        <w:rPr>
          <w:rFonts w:ascii="Cambria" w:hAnsi="Cambria"/>
        </w:rPr>
        <w:t xml:space="preserve"> (desde 2027, </w:t>
      </w:r>
      <w:r>
        <w:rPr>
          <w:rFonts w:ascii="Cambria" w:hAnsi="Cambria"/>
          <w:b/>
          <w:bCs/>
        </w:rPr>
        <w:t xml:space="preserve">Reglamento (UE) 2023/1230</w:t>
      </w:r>
      <w:r>
        <w:rPr>
          <w:rFonts w:ascii="Cambria" w:hAnsi="Cambria"/>
        </w:rPr>
        <w:t xml:space="preserve">) y, con carácter horizontal, el </w:t>
      </w:r>
      <w:r>
        <w:rPr>
          <w:rFonts w:ascii="Cambria" w:hAnsi="Cambria"/>
          <w:b/>
          <w:bCs/>
        </w:rPr>
        <w:t xml:space="preserve">Reglamento (UE) 2019/1020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Normas UNE-EN (AENOR)</w:t>
      </w:r>
      <w:r>
        <w:rPr>
          <w:rFonts w:ascii="Cambria" w:hAnsi="Cambria"/>
        </w:rPr>
        <w:t xml:space="preserve">: especificaciones técnicas armonizadas de seguridad para tornos, fresadoras y prensas.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MOTORES Y APARATOS ELÉCTRICOS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Directiva 2012/19/UE (RAEE)</w:t>
      </w:r>
      <w:r>
        <w:rPr>
          <w:rFonts w:ascii="Cambria" w:hAnsi="Cambria"/>
        </w:rPr>
        <w:t xml:space="preserve"> define como AEE los equipos que funcionan con corriente eléctrica o campos electromagnéticos, con tensión nominal no superior a </w:t>
      </w:r>
      <w:r>
        <w:rPr>
          <w:rFonts w:ascii="Cambria" w:hAnsi="Cambria"/>
          <w:b/>
          <w:bCs/>
        </w:rPr>
        <w:t xml:space="preserve">1.000 V</w:t>
      </w:r>
      <w:r>
        <w:rPr>
          <w:rFonts w:ascii="Cambria" w:hAnsi="Cambria"/>
        </w:rPr>
        <w:t xml:space="preserve"> en corriente alterna y </w:t>
      </w:r>
      <w:r>
        <w:rPr>
          <w:rFonts w:ascii="Cambria" w:hAnsi="Cambria"/>
          <w:b/>
          <w:bCs/>
        </w:rPr>
        <w:t xml:space="preserve">1.500 V</w:t>
      </w:r>
      <w:r>
        <w:rPr>
          <w:rFonts w:ascii="Cambria" w:hAnsi="Cambria"/>
        </w:rPr>
        <w:t xml:space="preserve"> en corriente continua.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Categorías: grandes y pequeños electrodomésticos, equipos de TI y telecomunicaciones, electrónica de consumo, alumbrado, herramientas eléctricas y electrónicas, materiales médicos, instrumentos de mando y control y máquinas expendedoras.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subsector representa el </w:t>
      </w:r>
      <w:r>
        <w:rPr>
          <w:rFonts w:ascii="Cambria" w:hAnsi="Cambria"/>
          <w:b/>
          <w:bCs/>
        </w:rPr>
        <w:t xml:space="preserve">3,0 %</w:t>
      </w:r>
      <w:r>
        <w:rPr>
          <w:rFonts w:ascii="Cambria" w:hAnsi="Cambria"/>
        </w:rPr>
        <w:t xml:space="preserve"> de la producción industrial, el </w:t>
      </w:r>
      <w:r>
        <w:rPr>
          <w:rFonts w:ascii="Cambria" w:hAnsi="Cambria"/>
          <w:b/>
          <w:bCs/>
        </w:rPr>
        <w:t xml:space="preserve">3,0 %</w:t>
      </w:r>
      <w:r>
        <w:rPr>
          <w:rFonts w:ascii="Cambria" w:hAnsi="Cambria"/>
        </w:rPr>
        <w:t xml:space="preserve"> del VAB industrial y el </w:t>
      </w:r>
      <w:r>
        <w:rPr>
          <w:rFonts w:ascii="Cambria" w:hAnsi="Cambria"/>
          <w:b/>
          <w:bCs/>
        </w:rPr>
        <w:t xml:space="preserve">3,2 %</w:t>
      </w:r>
      <w:r>
        <w:rPr>
          <w:rFonts w:ascii="Cambria" w:hAnsi="Cambria"/>
        </w:rPr>
        <w:t xml:space="preserve"> del empleo industrial.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2025, 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España registró superávit en motores eléctricos y déficit elevado en aparatos eléctricos.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 motores desde EEUU, Reino Unido, China, Japón y Alemania, exportaciones a EEUU, Reino Unido, Alemania y Bélgica.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 aparatos eléctricos desde China, Alemania y Marruecos, exportaciones a la UE, EEUU y Marruecos.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empresas se localizan en País Vasco, Cataluña y Aragón.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2019/1781</w:t>
      </w:r>
      <w:r>
        <w:rPr>
          <w:rFonts w:ascii="Cambria" w:hAnsi="Cambria"/>
        </w:rPr>
        <w:t xml:space="preserve"> fija requisitos mínimos de eficiencia energética para motores eléctricos, impulsados por la electrificación, el vehículo eléctrico y las redes inteligentes.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2014/35/UE</w:t>
      </w:r>
      <w:r>
        <w:rPr>
          <w:rFonts w:ascii="Cambria" w:hAnsi="Cambria"/>
        </w:rPr>
        <w:t xml:space="preserve">, de Baja Tensión: armoniza la comercialización de material eléctrico, incorporada por el </w:t>
      </w:r>
      <w:r>
        <w:rPr>
          <w:rFonts w:ascii="Cambria" w:hAnsi="Cambria"/>
          <w:b/>
          <w:bCs/>
        </w:rPr>
        <w:t xml:space="preserve">Real Decreto 187/2016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2014/68/UE</w:t>
      </w:r>
      <w:r>
        <w:rPr>
          <w:rFonts w:ascii="Cambria" w:hAnsi="Cambria"/>
        </w:rPr>
        <w:t xml:space="preserve">, sobre Equipos a Presión: requisitos esenciales para recipientes, calderas y tuberías.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2014/30/UE</w:t>
      </w:r>
      <w:r>
        <w:rPr>
          <w:rFonts w:ascii="Cambria" w:hAnsi="Cambria"/>
        </w:rPr>
        <w:t xml:space="preserve">, de Compatibilidad Electromagnética: evita perturbaciones incompatibles entre equipos.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2019/1781</w:t>
      </w:r>
      <w:r>
        <w:rPr>
          <w:rFonts w:ascii="Cambria" w:hAnsi="Cambria"/>
        </w:rPr>
        <w:t xml:space="preserve">: diseño ecológico para motores eléctricos y variadores de velocidad.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110/2015</w:t>
      </w:r>
      <w:r>
        <w:rPr>
          <w:rFonts w:ascii="Cambria" w:hAnsi="Cambria"/>
        </w:rPr>
        <w:t xml:space="preserve">: transpone la Directiva RAEE, regula recogida y reciclado.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219/2013</w:t>
      </w:r>
      <w:r>
        <w:rPr>
          <w:rFonts w:ascii="Cambria" w:hAnsi="Cambria"/>
        </w:rPr>
        <w:t xml:space="preserve">: transpone la </w:t>
      </w:r>
      <w:r>
        <w:rPr>
          <w:rFonts w:ascii="Cambria" w:hAnsi="Cambria"/>
          <w:b/>
          <w:bCs/>
        </w:rPr>
        <w:t xml:space="preserve">Directiva 2011/65/UE (RoHS)</w:t>
      </w:r>
      <w:r>
        <w:rPr>
          <w:rFonts w:ascii="Cambria" w:hAnsi="Cambria"/>
        </w:rPr>
        <w:t xml:space="preserve"> sobre sustancias peligrosas en AEE.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EQUIPOS E INSTRUMENTOS MÉDICO-QUIRÚRGICOS, DE PRECISIÓN, ÓPTICA Y RELOJERÍA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 instrumentos de medida, verificación y control, radiodetección (radar y sonar), medición de caudal, nivel o presión, navegación y meteorología, óptica y relojería, y aparatos médicos y de diagnóstico.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Muy ligado al sector sanitario y a la I+D+i, con la COVID-19 impulsando la inversión en diagnóstico, ventilación y EPIs.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estructural con tasa de cobertura del </w:t>
      </w:r>
      <w:r>
        <w:rPr>
          <w:rFonts w:ascii="Cambria" w:hAnsi="Cambria"/>
          <w:b/>
          <w:bCs/>
        </w:rPr>
        <w:t xml:space="preserve">40-45 %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desde Alemania, Países Bajos, Francia, EEUU, Japón y China, exportaciones a Portugal, Francia, Alemania, EEUU y Reino Unido.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7.1.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2017/745</w:t>
      </w:r>
      <w:r>
        <w:rPr>
          <w:rFonts w:ascii="Cambria" w:hAnsi="Cambria"/>
        </w:rPr>
        <w:t xml:space="preserve">, de productos sanitarios (MDR): marco regulador principal, refuerza seguridad clínica, trazabilidad y vigilancia poscomercialización.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2017/746</w:t>
      </w:r>
      <w:r>
        <w:rPr>
          <w:rFonts w:ascii="Cambria" w:hAnsi="Cambria"/>
        </w:rPr>
        <w:t xml:space="preserve">, de productos sanitarios para diagnóstico in vitro (IVDR).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2014/32/UE</w:t>
      </w:r>
      <w:r>
        <w:rPr>
          <w:rFonts w:ascii="Cambria" w:hAnsi="Cambria"/>
        </w:rPr>
        <w:t xml:space="preserve">, de instrumentos de medida (MID): armoniza requisitos técnicos y metrológicos.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2014/31/UE</w:t>
      </w:r>
      <w:r>
        <w:rPr>
          <w:rFonts w:ascii="Cambria" w:hAnsi="Cambria"/>
        </w:rPr>
        <w:t xml:space="preserve">, de instrumentos de pesaje de funcionamiento no automático (NAWI).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8. EQUIPOS DE OFICINA Y TELECOMUNICACIONES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Incluye maquinaria de oficina y ordenadores, equipos de telecomunicaciones y microelectrónica y componentes electrónicos.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maquinaria de oficina y ordenadores</w:t>
      </w:r>
      <w:r>
        <w:rPr>
          <w:rFonts w:ascii="Cambria" w:hAnsi="Cambria"/>
        </w:rPr>
        <w:t xml:space="preserve"> tiene producción española reducida y fuerte dependencia importadora, con actividad concentrada en software y servicios tecnológicos.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equipos de telecomunicaciones</w:t>
      </w:r>
      <w:r>
        <w:rPr>
          <w:rFonts w:ascii="Cambria" w:hAnsi="Cambria"/>
        </w:rPr>
        <w:t xml:space="preserve"> destacan en electrónica industrial, simulación e infraestructuras, con </w:t>
      </w:r>
      <w:r>
        <w:rPr>
          <w:rFonts w:ascii="Cambria" w:hAnsi="Cambria"/>
          <w:b/>
          <w:bCs/>
        </w:rPr>
        <w:t xml:space="preserve">Indra</w:t>
      </w:r>
      <w:r>
        <w:rPr>
          <w:rFonts w:ascii="Cambria" w:hAnsi="Cambria"/>
        </w:rPr>
        <w:t xml:space="preserve"> como referente y una amplia red de fibra óptica.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microelectrónica</w:t>
      </w:r>
      <w:r>
        <w:rPr>
          <w:rFonts w:ascii="Cambria" w:hAnsi="Cambria"/>
        </w:rPr>
        <w:t xml:space="preserve"> incluye semiconductores, componentes pasivos, electromecánicos y antenas, con nichos competitivos.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5G, el IoT, la nube, la IA y los centros de datos impulsan la demanda mundial de estos equipos.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Déficit comercial marcado, con tasa de cobertura próxima al </w:t>
      </w:r>
      <w:r>
        <w:rPr>
          <w:rFonts w:ascii="Cambria" w:hAnsi="Cambria"/>
          <w:b/>
          <w:bCs/>
        </w:rPr>
        <w:t xml:space="preserve">25 %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a la UE, Marruecos, Reino Unido y EEUU, importaciones desde China, Vietnam, Taiwán, India y Tailandia.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crisis de suministro de chips de 2021-2022 evidenció la dependencia europea de Asia, motivando el </w:t>
      </w:r>
      <w:r>
        <w:rPr>
          <w:rFonts w:ascii="Cambria" w:hAnsi="Cambria"/>
          <w:b/>
          <w:bCs/>
        </w:rPr>
        <w:t xml:space="preserve">Reglamento (UE) 2023/1781 (European Chips Act)</w:t>
      </w:r>
      <w:r>
        <w:rPr>
          <w:rFonts w:ascii="Cambria" w:hAnsi="Cambria"/>
        </w:rPr>
        <w:t xml:space="preserve"> para reforzar la autonomía estratégica.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8.1.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2014/53/UE</w:t>
      </w:r>
      <w:r>
        <w:rPr>
          <w:rFonts w:ascii="Cambria" w:hAnsi="Cambria"/>
        </w:rPr>
        <w:t xml:space="preserve">, sobre equipos radioeléctricos (RED).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(UE) 2018/1972</w:t>
      </w:r>
      <w:r>
        <w:rPr>
          <w:rFonts w:ascii="Cambria" w:hAnsi="Cambria"/>
        </w:rPr>
        <w:t xml:space="preserve">, Código Europeo de las Comunicaciones Electrónicas: base de la </w:t>
      </w:r>
      <w:r>
        <w:rPr>
          <w:rFonts w:ascii="Cambria" w:hAnsi="Cambria"/>
          <w:b/>
          <w:bCs/>
        </w:rPr>
        <w:t xml:space="preserve">Ley 11/2022, General de Telecomunicaciones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219/2013</w:t>
      </w:r>
      <w:r>
        <w:rPr>
          <w:rFonts w:ascii="Cambria" w:hAnsi="Cambria"/>
        </w:rPr>
        <w:t xml:space="preserve">: transpone la Directiva RoHS.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110/2015</w:t>
      </w:r>
      <w:r>
        <w:rPr>
          <w:rFonts w:ascii="Cambria" w:hAnsi="Cambria"/>
        </w:rPr>
        <w:t xml:space="preserve">: gestión de residuos RAEE.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2023/1781 (European Chips Act)</w:t>
      </w:r>
      <w:r>
        <w:rPr>
          <w:rFonts w:ascii="Cambria" w:hAnsi="Cambria"/>
        </w:rPr>
        <w:t xml:space="preserve">: apoyo a la investigación, diseño y fabricación de chips.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2022/2065 (DSA)</w:t>
      </w:r>
      <w:r>
        <w:rPr>
          <w:rFonts w:ascii="Cambria" w:hAnsi="Cambria"/>
        </w:rPr>
        <w:t xml:space="preserve">: obligaciones de transparencia y control de productos comercializados en línea.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2019/881 (Cybersecurity Act)</w:t>
      </w:r>
      <w:r>
        <w:rPr>
          <w:rFonts w:ascii="Cambria" w:hAnsi="Cambria"/>
        </w:rPr>
        <w:t xml:space="preserve">: marco europeo de certificación de ciberseguridad.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2024/2847 (Cyber Resilience Act)</w:t>
      </w:r>
      <w:r>
        <w:rPr>
          <w:rFonts w:ascii="Cambria" w:hAnsi="Cambria"/>
        </w:rPr>
        <w:t xml:space="preserve">: requisitos de ciberseguridad para productos con elementos digitales.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9.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bienes de equipo es uno de los principales motores de la industria española por su elevado contenido tecnológico y capacidad exportadora.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Persisten retos de dependencia tecnológica exterior y déficit comercial en varios subsectores.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transición digital y energética, la reindustrialización europea y la incertidumbre geopolítica exigen impulsar innovación, inversión y competitividad internacional.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16 – Sector de bienes de equipo (I): Maquinaria para la industria. Máquina-herramienta. Motores. Aparatos eléctricos y de precisión. Equipos de oficina y telecomunicaciones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