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secundario representa el </w:t>
      </w:r>
      <w:r>
        <w:rPr>
          <w:rFonts w:ascii="Cambria" w:hAnsi="Cambria"/>
          <w:b/>
          <w:bCs/>
        </w:rPr>
        <w:t xml:space="preserve">14,2 % del PIB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15,6 % del VAB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11,4 % del empleo</w:t>
      </w:r>
      <w:r>
        <w:rPr>
          <w:rFonts w:ascii="Cambria" w:hAnsi="Cambria"/>
        </w:rPr>
        <w:t xml:space="preserve"> (Informe Anual 2025, SG de Estudios, Análisis y Planes de Actuación del MINTUR).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manufacturera se divide en bienes intermedios, bienes de equipo y bienes de consumo.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bienes de equipo</w:t>
      </w:r>
      <w:r>
        <w:rPr>
          <w:rFonts w:ascii="Cambria" w:hAnsi="Cambria"/>
        </w:rPr>
        <w:t xml:space="preserve">, incluida la automoción, representan en torno al </w:t>
      </w:r>
      <w:r>
        <w:rPr>
          <w:rFonts w:ascii="Cambria" w:hAnsi="Cambria"/>
          <w:b/>
          <w:bCs/>
        </w:rPr>
        <w:t xml:space="preserve">30 %</w:t>
      </w:r>
      <w:r>
        <w:rPr>
          <w:rFonts w:ascii="Cambria" w:hAnsi="Cambria"/>
        </w:rPr>
        <w:t xml:space="preserve"> del VAB y del empleo industrial, con elevada orientación exportadora.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automoción</w:t>
      </w:r>
      <w:r>
        <w:rPr>
          <w:rFonts w:ascii="Cambria" w:hAnsi="Cambria"/>
        </w:rPr>
        <w:t xml:space="preserve"> participa en bienes intermedios, de equipo y de consumo: supone en torno al </w:t>
      </w:r>
      <w:r>
        <w:rPr>
          <w:rFonts w:ascii="Cambria" w:hAnsi="Cambria"/>
          <w:b/>
          <w:bCs/>
        </w:rPr>
        <w:t xml:space="preserve">10 % del PIB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9 % del empleo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12,8 % de las exportaciones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electrificación, la digitalización y la descarbonización transforman estos subsectores.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LEGISLACIÓN GENERAL DEL SECTOR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21/1992, de Industria</w:t>
      </w:r>
      <w:r>
        <w:rPr>
          <w:rFonts w:ascii="Cambria" w:hAnsi="Cambria"/>
        </w:rPr>
        <w:t xml:space="preserve">: adapta la actividad industrial al Mercado Único europeo.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559/2010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: Registro Integrado Industrial e Infraestructura para la Calidad y la Seguridad Industrial, que reconoce a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, de Etiquetado de Productos Industriales: exige etiquetado veraz.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1406/1989</w:t>
      </w:r>
      <w:r>
        <w:rPr>
          <w:rFonts w:ascii="Cambria" w:hAnsi="Cambria"/>
        </w:rPr>
        <w:t xml:space="preserve">: limita sustancias peligrosas (benceno, amianto, dimetilfumarato, pentaclorofenol).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: control de importación por seguridad vía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riesgos de </w:t>
      </w:r>
      <w:r>
        <w:rPr>
          <w:rFonts w:ascii="Cambria" w:hAnsi="Cambria"/>
          <w:b/>
          <w:bCs/>
        </w:rPr>
        <w:t xml:space="preserve">RAPEX</w:t>
      </w:r>
      <w:r>
        <w:rPr>
          <w:rFonts w:ascii="Cambria" w:hAnsi="Cambria"/>
        </w:rPr>
        <w:t xml:space="preserve">, con lista en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993/2022</w:t>
      </w:r>
      <w:r>
        <w:rPr>
          <w:rFonts w:ascii="Cambria" w:hAnsi="Cambria"/>
        </w:rPr>
        <w:t xml:space="preserve">: control SOIVRE de aparatos eléctricos y electrónicos (RoHS).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: acreditación y marcado CE, sustituido en vigilancia por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: reconocimiento mutuo de mercancías comercializadas en otro Estado miembro.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: marco común de comercialización, base del Nuevo Marco Legislativo.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, de Seguridad General de Productos: sustituye al Real Decreto 1801/2003 desde el </w:t>
      </w:r>
      <w:r>
        <w:rPr>
          <w:rFonts w:ascii="Cambria" w:hAnsi="Cambria"/>
          <w:b/>
          <w:bCs/>
        </w:rPr>
        <w:t xml:space="preserve">13 de diciembre de 2024</w:t>
      </w:r>
      <w:r>
        <w:rPr>
          <w:rFonts w:ascii="Cambria" w:hAnsi="Cambria"/>
        </w:rPr>
        <w:t xml:space="preserve">, con el sistema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: restringe sustancias químicas peligrosas y crea la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2023/2411</w:t>
      </w:r>
      <w:r>
        <w:rPr>
          <w:rFonts w:ascii="Cambria" w:hAnsi="Cambria"/>
        </w:rPr>
        <w:t xml:space="preserve">, de Indicaciones Geográficas industriales y artesanales: aplicable desde 2025.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MATERIAL DE TRANSPORTE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Ferroviario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Material rodante, señalización y mantenimiento, sector de alta tecnología ligado a la alta velocidad.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referente mundial, con presencia en toda la cadena de valor. Concentración en </w:t>
      </w:r>
      <w:r>
        <w:rPr>
          <w:rFonts w:ascii="Cambria" w:hAnsi="Cambria"/>
          <w:b/>
          <w:bCs/>
        </w:rPr>
        <w:t xml:space="preserve">Madrid, País Vasco y Cataluña</w:t>
      </w:r>
      <w:r>
        <w:rPr>
          <w:rFonts w:ascii="Cambria" w:hAnsi="Cambria"/>
        </w:rPr>
        <w:t xml:space="preserve">. Demanda dominada por </w:t>
      </w:r>
      <w:r>
        <w:rPr>
          <w:rFonts w:ascii="Cambria" w:hAnsi="Cambria"/>
          <w:b/>
          <w:bCs/>
        </w:rPr>
        <w:t xml:space="preserve">RENFE, ADIF y SNCF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Superávit comercial estable, con tasa de cobertura superior al </w:t>
      </w:r>
      <w:r>
        <w:rPr>
          <w:rFonts w:ascii="Cambria" w:hAnsi="Cambria"/>
          <w:b/>
          <w:bCs/>
        </w:rPr>
        <w:t xml:space="preserve">200 %</w:t>
      </w:r>
      <w:r>
        <w:rPr>
          <w:rFonts w:ascii="Cambria" w:hAnsi="Cambria"/>
        </w:rPr>
        <w:t xml:space="preserve">, hacia Europa, con importaciones de la UE y China.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Directiva (UE) 2016/798</w:t>
      </w:r>
      <w:r>
        <w:rPr>
          <w:rFonts w:ascii="Cambria" w:hAnsi="Cambria"/>
        </w:rPr>
        <w:t xml:space="preserve">, Seguridad Ferroviaria, </w:t>
      </w:r>
      <w:r>
        <w:rPr>
          <w:rFonts w:ascii="Cambria" w:hAnsi="Cambria"/>
          <w:b/>
          <w:bCs/>
        </w:rPr>
        <w:t xml:space="preserve">Directiva 2012/34/UE</w:t>
      </w:r>
      <w:r>
        <w:rPr>
          <w:rFonts w:ascii="Cambria" w:hAnsi="Cambria"/>
        </w:rPr>
        <w:t xml:space="preserve">, Espacio Ferroviario Europeo Único, </w:t>
      </w:r>
      <w:r>
        <w:rPr>
          <w:rFonts w:ascii="Cambria" w:hAnsi="Cambria"/>
          <w:b/>
          <w:bCs/>
        </w:rPr>
        <w:t xml:space="preserve">Reglamento (UE) 2016/796</w:t>
      </w:r>
      <w:r>
        <w:rPr>
          <w:rFonts w:ascii="Cambria" w:hAnsi="Cambria"/>
        </w:rPr>
        <w:t xml:space="preserve">, Agencia Ferroviaria de la UE, Cuarto Paquete Ferroviario (2016).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Carretera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Fabricación de vehículos industriales, comerciales ligeros y remolques, sin turismos.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el principal productor europeo de vehículos industriales. Socios: </w:t>
      </w:r>
      <w:r>
        <w:rPr>
          <w:rFonts w:ascii="Cambria" w:hAnsi="Cambria"/>
          <w:b/>
          <w:bCs/>
        </w:rPr>
        <w:t xml:space="preserve">Alemania y Francia</w:t>
      </w:r>
      <w:r>
        <w:rPr>
          <w:rFonts w:ascii="Cambria" w:hAnsi="Cambria"/>
        </w:rPr>
        <w:t xml:space="preserve">, Reino Unido como destino y Turquía y China como proveedores.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Transición hacia cero emisiones e hidrógeno, impulsada por la normativa </w:t>
      </w:r>
      <w:r>
        <w:rPr>
          <w:rFonts w:ascii="Cambria" w:hAnsi="Cambria"/>
          <w:b/>
          <w:bCs/>
        </w:rPr>
        <w:t xml:space="preserve">Euro VII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(UE) 2018/858</w:t>
      </w:r>
      <w:r>
        <w:rPr>
          <w:rFonts w:ascii="Cambria" w:hAnsi="Cambria"/>
        </w:rPr>
        <w:t xml:space="preserve">, homologación y vigilancia, </w:t>
      </w:r>
      <w:r>
        <w:rPr>
          <w:rFonts w:ascii="Cambria" w:hAnsi="Cambria"/>
          <w:b/>
          <w:bCs/>
        </w:rPr>
        <w:t xml:space="preserve">Reglamento (UE) 2019/1242</w:t>
      </w:r>
      <w:r>
        <w:rPr>
          <w:rFonts w:ascii="Cambria" w:hAnsi="Cambria"/>
        </w:rPr>
        <w:t xml:space="preserve">, reducción de CO₂ en pesados (</w:t>
      </w:r>
      <w:r>
        <w:rPr>
          <w:rFonts w:ascii="Cambria" w:hAnsi="Cambria"/>
          <w:b/>
          <w:bCs/>
        </w:rPr>
        <w:t xml:space="preserve">15 %</w:t>
      </w:r>
      <w:r>
        <w:rPr>
          <w:rFonts w:ascii="Cambria" w:hAnsi="Cambria"/>
        </w:rPr>
        <w:t xml:space="preserve"> en 2025 y </w:t>
      </w:r>
      <w:r>
        <w:rPr>
          <w:rFonts w:ascii="Cambria" w:hAnsi="Cambria"/>
          <w:b/>
          <w:bCs/>
        </w:rPr>
        <w:t xml:space="preserve">30 %</w:t>
      </w:r>
      <w:r>
        <w:rPr>
          <w:rFonts w:ascii="Cambria" w:hAnsi="Cambria"/>
        </w:rPr>
        <w:t xml:space="preserve"> en 2030), </w:t>
      </w:r>
      <w:r>
        <w:rPr>
          <w:rFonts w:ascii="Cambria" w:hAnsi="Cambria"/>
          <w:b/>
          <w:bCs/>
        </w:rPr>
        <w:t xml:space="preserve">Reglamento (UE) 2024/1257 (Euro VII)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Naval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Diseño, construcción, reparación y mantenimiento de buques, de alta complejidad tecnológica.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mercado mundial se concentra en Asia (</w:t>
      </w:r>
      <w:r>
        <w:rPr>
          <w:rFonts w:ascii="Cambria" w:hAnsi="Cambria"/>
          <w:b/>
          <w:bCs/>
        </w:rPr>
        <w:t xml:space="preserve">China, Corea del Sur y Japón, ~90 %</w:t>
      </w:r>
      <w:r>
        <w:rPr>
          <w:rFonts w:ascii="Cambria" w:hAnsi="Cambria"/>
        </w:rPr>
        <w:t xml:space="preserve"> de los pedidos). Europa se especializa en cruceros, militares y offshore.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Navantia</w:t>
      </w:r>
      <w:r>
        <w:rPr>
          <w:rFonts w:ascii="Cambria" w:hAnsi="Cambria"/>
        </w:rPr>
        <w:t xml:space="preserve"> es el principal actor español, civil y militar (fragatas F-110, eólica marina), con contratos en Australia y Arabia Saudí.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Superávit comercial en 2025 (DATACOMEX): exportaciones a Gibraltar, Noruega y Reino Unido, importaciones desde China y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Convenio SOLAS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Convenio MARPOL</w:t>
      </w:r>
      <w:r>
        <w:rPr>
          <w:rFonts w:ascii="Cambria" w:hAnsi="Cambria"/>
        </w:rPr>
        <w:t xml:space="preserve"> (OMI), </w:t>
      </w:r>
      <w:r>
        <w:rPr>
          <w:rFonts w:ascii="Cambria" w:hAnsi="Cambria"/>
          <w:b/>
          <w:bCs/>
        </w:rPr>
        <w:t xml:space="preserve">Reglamento (UE) 2023/1805 (FuelEU Maritime)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Real Decreto Legislativo 2/2011</w:t>
      </w:r>
      <w:r>
        <w:rPr>
          <w:rFonts w:ascii="Cambria" w:hAnsi="Cambria"/>
        </w:rPr>
        <w:t xml:space="preserve">, Ley de Puertos del Estado y Marina Mercante, Estrategia OMI de reducción de gases de efecto invernadero, emisiones netas cercanas a cero hacia 2050.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Aeronaves y material espacial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Fabricación de aeronaves, motores, satélites y vehículos espaciales, con altas barreras de entrada e inversión en I+D+i.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Grandes consorcios (</w:t>
      </w:r>
      <w:r>
        <w:rPr>
          <w:rFonts w:ascii="Cambria" w:hAnsi="Cambria"/>
          <w:b/>
          <w:bCs/>
        </w:rPr>
        <w:t xml:space="preserve">Airbus, Boeing, Safran, Leonardo</w:t>
      </w:r>
      <w:r>
        <w:rPr>
          <w:rFonts w:ascii="Cambria" w:hAnsi="Cambria"/>
        </w:rPr>
        <w:t xml:space="preserve">) sustentados por una red de pymes.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el </w:t>
      </w:r>
      <w:r>
        <w:rPr>
          <w:rFonts w:ascii="Cambria" w:hAnsi="Cambria"/>
          <w:b/>
          <w:bCs/>
        </w:rPr>
        <w:t xml:space="preserve">4.º productor europeo</w:t>
      </w:r>
      <w:r>
        <w:rPr>
          <w:rFonts w:ascii="Cambria" w:hAnsi="Cambria"/>
        </w:rPr>
        <w:t xml:space="preserve">, tras Francia, Alemania e Italia (Eurostat), concentrado en Madrid, País Vasco y Andalucía.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Tasa de cobertura en torno al </w:t>
      </w:r>
      <w:r>
        <w:rPr>
          <w:rFonts w:ascii="Cambria" w:hAnsi="Cambria"/>
          <w:b/>
          <w:bCs/>
        </w:rPr>
        <w:t xml:space="preserve">110 %</w:t>
      </w:r>
      <w:r>
        <w:rPr>
          <w:rFonts w:ascii="Cambria" w:hAnsi="Cambria"/>
        </w:rPr>
        <w:t xml:space="preserve">, aunque en 2025 las exportaciones cayeron cerca de un </w:t>
      </w:r>
      <w:r>
        <w:rPr>
          <w:rFonts w:ascii="Cambria" w:hAnsi="Cambria"/>
          <w:b/>
          <w:bCs/>
        </w:rPr>
        <w:t xml:space="preserve">20 %</w:t>
      </w:r>
      <w:r>
        <w:rPr>
          <w:rFonts w:ascii="Cambria" w:hAnsi="Cambria"/>
        </w:rPr>
        <w:t xml:space="preserve">, hacia la UE, Reino Unido, India y EEUU.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Disputa </w:t>
      </w:r>
      <w:r>
        <w:rPr>
          <w:rFonts w:ascii="Cambria" w:hAnsi="Cambria"/>
          <w:b/>
          <w:bCs/>
        </w:rPr>
        <w:t xml:space="preserve">Airbus-Boeing</w:t>
      </w:r>
      <w:r>
        <w:rPr>
          <w:rFonts w:ascii="Cambria" w:hAnsi="Cambria"/>
        </w:rPr>
        <w:t xml:space="preserve"> en la OMC (2004): sanciones a EEUU en 2019 por 7.500 M$, suspensión bilateral en 2021 por 5 años, con prórroga votada por la UE el 25 de junio de 2026.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Nuevo Espacio</w:t>
      </w:r>
      <w:r>
        <w:rPr>
          <w:rFonts w:ascii="Cambria" w:hAnsi="Cambria"/>
        </w:rPr>
        <w:t xml:space="preserve">: actores privados (SpaceX, Blue Origin, OneWeb). España participa vía CDTI, INTA y empresas como GMV, Sener e Indra.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Ley 48/1960</w:t>
      </w:r>
      <w:r>
        <w:rPr>
          <w:rFonts w:ascii="Cambria" w:hAnsi="Cambria"/>
        </w:rPr>
        <w:t xml:space="preserve">, Navegación Aérea, </w:t>
      </w:r>
      <w:r>
        <w:rPr>
          <w:rFonts w:ascii="Cambria" w:hAnsi="Cambria"/>
          <w:b/>
          <w:bCs/>
        </w:rPr>
        <w:t xml:space="preserve">Ley 21/2003</w:t>
      </w:r>
      <w:r>
        <w:rPr>
          <w:rFonts w:ascii="Cambria" w:hAnsi="Cambria"/>
        </w:rPr>
        <w:t xml:space="preserve">, Seguridad Aérea, </w:t>
      </w:r>
      <w:r>
        <w:rPr>
          <w:rFonts w:ascii="Cambria" w:hAnsi="Cambria"/>
          <w:b/>
          <w:bCs/>
        </w:rPr>
        <w:t xml:space="preserve">Reglamento (UE) 2018/1139</w:t>
      </w:r>
      <w:r>
        <w:rPr>
          <w:rFonts w:ascii="Cambria" w:hAnsi="Cambria"/>
        </w:rPr>
        <w:t xml:space="preserve">, aviación civil y </w:t>
      </w:r>
      <w:r>
        <w:rPr>
          <w:rFonts w:ascii="Cambria" w:hAnsi="Cambria"/>
          <w:b/>
          <w:bCs/>
        </w:rPr>
        <w:t xml:space="preserve">EASA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(UE) 2021/696</w:t>
      </w:r>
      <w:r>
        <w:rPr>
          <w:rFonts w:ascii="Cambria" w:hAnsi="Cambria"/>
        </w:rPr>
        <w:t xml:space="preserve">, Programa Espacial de la UE y </w:t>
      </w:r>
      <w:r>
        <w:rPr>
          <w:rFonts w:ascii="Cambria" w:hAnsi="Cambria"/>
          <w:b/>
          <w:bCs/>
        </w:rPr>
        <w:t xml:space="preserve">EUSPA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SECTOR DE LA AUTOMOCIÓN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CNAE-2009</w:t>
      </w:r>
      <w:r>
        <w:rPr>
          <w:rFonts w:ascii="Cambria" w:hAnsi="Cambria"/>
        </w:rPr>
        <w:t xml:space="preserve">, incluye turismos, vehículos industriales y especiales, autobuses, motocicletas y componentes.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Industria globalizada de intensidad tecnológica media-alta, con grandes grupos surgidos de fusiones (</w:t>
      </w:r>
      <w:r>
        <w:rPr>
          <w:rFonts w:ascii="Cambria" w:hAnsi="Cambria"/>
          <w:b/>
          <w:bCs/>
        </w:rPr>
        <w:t xml:space="preserve">Stellantis, Volkswagen Group, Renault-Nissan-Mitsubishi, Toyota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el </w:t>
      </w:r>
      <w:r>
        <w:rPr>
          <w:rFonts w:ascii="Cambria" w:hAnsi="Cambria"/>
          <w:b/>
          <w:bCs/>
        </w:rPr>
        <w:t xml:space="preserve">2.º fabricante europeo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8.º mundial</w:t>
      </w:r>
      <w:r>
        <w:rPr>
          <w:rFonts w:ascii="Cambria" w:hAnsi="Cambria"/>
        </w:rPr>
        <w:t xml:space="preserve">, líder europeo en vehículos industriales. En 2025 la producción fue de </w:t>
      </w:r>
      <w:r>
        <w:rPr>
          <w:rFonts w:ascii="Cambria" w:hAnsi="Cambria"/>
          <w:b/>
          <w:bCs/>
        </w:rPr>
        <w:t xml:space="preserve">2.274.026 unidades</w:t>
      </w:r>
      <w:r>
        <w:rPr>
          <w:rFonts w:ascii="Cambria" w:hAnsi="Cambria"/>
        </w:rPr>
        <w:t xml:space="preserve">, un descenso del </w:t>
      </w:r>
      <w:r>
        <w:rPr>
          <w:rFonts w:ascii="Cambria" w:hAnsi="Cambria"/>
          <w:b/>
          <w:bCs/>
        </w:rPr>
        <w:t xml:space="preserve">4,3 %</w:t>
      </w:r>
      <w:r>
        <w:rPr>
          <w:rFonts w:ascii="Cambria" w:hAnsi="Cambria"/>
        </w:rPr>
        <w:t xml:space="preserve"> (ANFAC).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Consolidación como hub de fabricantes chinos (Chery-Ebro en Barcelona, SAIC/MG en Galicia para 2027), con fuertes inversiones en eléctricos.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Representa el </w:t>
      </w:r>
      <w:r>
        <w:rPr>
          <w:rFonts w:ascii="Cambria" w:hAnsi="Cambria"/>
          <w:b/>
          <w:bCs/>
        </w:rPr>
        <w:t xml:space="preserve">10 % del PIB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9 % del empleo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12,8 % de las exportaciones</w:t>
      </w:r>
      <w:r>
        <w:rPr>
          <w:rFonts w:ascii="Cambria" w:hAnsi="Cambria"/>
        </w:rPr>
        <w:t xml:space="preserve">, con superávit comercial de </w:t>
      </w:r>
      <w:r>
        <w:rPr>
          <w:rFonts w:ascii="Cambria" w:hAnsi="Cambria"/>
          <w:b/>
          <w:bCs/>
        </w:rPr>
        <w:t xml:space="preserve">4.822 M€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Ley 7/2021</w:t>
      </w:r>
      <w:r>
        <w:rPr>
          <w:rFonts w:ascii="Cambria" w:hAnsi="Cambria"/>
        </w:rPr>
        <w:t xml:space="preserve"> de Cambio Climático prohíbe la venta de vehículos de combustión en España desde </w:t>
      </w:r>
      <w:r>
        <w:rPr>
          <w:rFonts w:ascii="Cambria" w:hAnsi="Cambria"/>
          <w:b/>
          <w:bCs/>
        </w:rPr>
        <w:t xml:space="preserve">2040</w:t>
      </w:r>
      <w:r>
        <w:rPr>
          <w:rFonts w:ascii="Cambria" w:hAnsi="Cambria"/>
        </w:rPr>
        <w:t xml:space="preserve">. El </w:t>
      </w:r>
      <w:r>
        <w:rPr>
          <w:rFonts w:ascii="Cambria" w:hAnsi="Cambria"/>
          <w:b/>
          <w:bCs/>
        </w:rPr>
        <w:t xml:space="preserve">Reglamento (UE) 2023/851</w:t>
      </w:r>
      <w:r>
        <w:rPr>
          <w:rFonts w:ascii="Cambria" w:hAnsi="Cambria"/>
        </w:rPr>
        <w:t xml:space="preserve"> exige cero emisiones desde </w:t>
      </w:r>
      <w:r>
        <w:rPr>
          <w:rFonts w:ascii="Cambria" w:hAnsi="Cambria"/>
          <w:b/>
          <w:bCs/>
        </w:rPr>
        <w:t xml:space="preserve">2035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Planes de apoyo: </w:t>
      </w:r>
      <w:r>
        <w:rPr>
          <w:rFonts w:ascii="Cambria" w:hAnsi="Cambria"/>
          <w:b/>
          <w:bCs/>
        </w:rPr>
        <w:t xml:space="preserve">PIVE</w:t>
      </w:r>
      <w:r>
        <w:rPr>
          <w:rFonts w:ascii="Cambria" w:hAnsi="Cambria"/>
        </w:rPr>
        <w:t xml:space="preserve"> (8 ediciones, 1.115 M€), </w:t>
      </w:r>
      <w:r>
        <w:rPr>
          <w:rFonts w:ascii="Cambria" w:hAnsi="Cambria"/>
          <w:b/>
          <w:bCs/>
        </w:rPr>
        <w:t xml:space="preserve">RENOVE 2020</w:t>
      </w:r>
      <w:r>
        <w:rPr>
          <w:rFonts w:ascii="Cambria" w:hAnsi="Cambria"/>
        </w:rPr>
        <w:t xml:space="preserve"> (250 M€), </w:t>
      </w:r>
      <w:r>
        <w:rPr>
          <w:rFonts w:ascii="Cambria" w:hAnsi="Cambria"/>
          <w:b/>
          <w:bCs/>
        </w:rPr>
        <w:t xml:space="preserve">MOVES II</w:t>
      </w:r>
      <w:r>
        <w:rPr>
          <w:rFonts w:ascii="Cambria" w:hAnsi="Cambria"/>
        </w:rPr>
        <w:t xml:space="preserve"> (110 M€), </w:t>
      </w:r>
      <w:r>
        <w:rPr>
          <w:rFonts w:ascii="Cambria" w:hAnsi="Cambria"/>
          <w:b/>
          <w:bCs/>
        </w:rPr>
        <w:t xml:space="preserve">MOVES III</w:t>
      </w:r>
      <w:r>
        <w:rPr>
          <w:rFonts w:ascii="Cambria" w:hAnsi="Cambria"/>
        </w:rPr>
        <w:t xml:space="preserve"> (400-800 M€), y el vigente </w:t>
      </w:r>
      <w:r>
        <w:rPr>
          <w:rFonts w:ascii="Cambria" w:hAnsi="Cambria"/>
          <w:b/>
          <w:bCs/>
        </w:rPr>
        <w:t xml:space="preserve">Programa Auto+</w:t>
      </w:r>
      <w:r>
        <w:rPr>
          <w:rFonts w:ascii="Cambria" w:hAnsi="Cambria"/>
        </w:rPr>
        <w:t xml:space="preserve"> (400 M€, hasta 4.500 € para eléctricos y 3.375 € para híbridos enchufables).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Ratio de exportación sobre producción cercana al </w:t>
      </w:r>
      <w:r>
        <w:rPr>
          <w:rFonts w:ascii="Cambria" w:hAnsi="Cambria"/>
          <w:b/>
          <w:bCs/>
        </w:rPr>
        <w:t xml:space="preserve">85 %</w:t>
      </w:r>
      <w:r>
        <w:rPr>
          <w:rFonts w:ascii="Cambria" w:hAnsi="Cambria"/>
        </w:rPr>
        <w:t xml:space="preserve">, hacia Francia, Alemania, Reino Unido y Turquía, con China como tercer proveedor creciente.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técnica y medioambiental: </w:t>
      </w:r>
      <w:r>
        <w:rPr>
          <w:rFonts w:ascii="Cambria" w:hAnsi="Cambria"/>
          <w:b/>
          <w:bCs/>
        </w:rPr>
        <w:t xml:space="preserve">Reglamento (UE) 2018/858</w:t>
      </w:r>
      <w:r>
        <w:rPr>
          <w:rFonts w:ascii="Cambria" w:hAnsi="Cambria"/>
        </w:rPr>
        <w:t xml:space="preserve">, ciclo </w:t>
      </w:r>
      <w:r>
        <w:rPr>
          <w:rFonts w:ascii="Cambria" w:hAnsi="Cambria"/>
          <w:b/>
          <w:bCs/>
        </w:rPr>
        <w:t xml:space="preserve">WLTP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(UE) 2024/1257 (Euro 7)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(UE) 2019/1242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45 %</w:t>
      </w:r>
      <w:r>
        <w:rPr>
          <w:rFonts w:ascii="Cambria" w:hAnsi="Cambria"/>
        </w:rPr>
        <w:t xml:space="preserve"> en 2030 y </w:t>
      </w:r>
      <w:r>
        <w:rPr>
          <w:rFonts w:ascii="Cambria" w:hAnsi="Cambria"/>
          <w:b/>
          <w:bCs/>
        </w:rPr>
        <w:t xml:space="preserve">90 %</w:t>
      </w:r>
      <w:r>
        <w:rPr>
          <w:rFonts w:ascii="Cambria" w:hAnsi="Cambria"/>
        </w:rPr>
        <w:t xml:space="preserve"> en 2040 para pesados), </w:t>
      </w:r>
      <w:r>
        <w:rPr>
          <w:rFonts w:ascii="Cambria" w:hAnsi="Cambria"/>
          <w:b/>
          <w:bCs/>
        </w:rPr>
        <w:t xml:space="preserve">Directiva 2000/53/CE</w:t>
      </w:r>
      <w:r>
        <w:rPr>
          <w:rFonts w:ascii="Cambria" w:hAnsi="Cambria"/>
        </w:rPr>
        <w:t xml:space="preserve">, vehículos al final de su vida útil, </w:t>
      </w:r>
      <w:r>
        <w:rPr>
          <w:rFonts w:ascii="Cambria" w:hAnsi="Cambria"/>
          <w:b/>
          <w:bCs/>
        </w:rPr>
        <w:t xml:space="preserve">Reglamento (UE) 2023/1542</w:t>
      </w:r>
      <w:r>
        <w:rPr>
          <w:rFonts w:ascii="Cambria" w:hAnsi="Cambria"/>
        </w:rPr>
        <w:t xml:space="preserve">, de baterías, </w:t>
      </w:r>
      <w:r>
        <w:rPr>
          <w:rFonts w:ascii="Cambria" w:hAnsi="Cambria"/>
          <w:b/>
          <w:bCs/>
        </w:rPr>
        <w:t xml:space="preserve">CBAM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fiscal y de seguridad vial: </w:t>
      </w:r>
      <w:r>
        <w:rPr>
          <w:rFonts w:ascii="Cambria" w:hAnsi="Cambria"/>
          <w:b/>
          <w:bCs/>
        </w:rPr>
        <w:t xml:space="preserve">Impuesto de Matriculación</w:t>
      </w:r>
      <w:r>
        <w:rPr>
          <w:rFonts w:ascii="Cambria" w:hAnsi="Cambria"/>
        </w:rPr>
        <w:t xml:space="preserve">, aranceles comunitarios a eléctricos asiáticos, </w:t>
      </w:r>
      <w:r>
        <w:rPr>
          <w:rFonts w:ascii="Cambria" w:hAnsi="Cambria"/>
          <w:b/>
          <w:bCs/>
        </w:rPr>
        <w:t xml:space="preserve">Reglamento (UE) 2019/2144 (GSR II)</w:t>
      </w:r>
      <w:r>
        <w:rPr>
          <w:rFonts w:ascii="Cambria" w:hAnsi="Cambria"/>
        </w:rPr>
        <w:t xml:space="preserve">, sistemas ADAS, objetivo </w:t>
      </w:r>
      <w:r>
        <w:rPr>
          <w:rFonts w:ascii="Cambria" w:hAnsi="Cambria"/>
          <w:b/>
          <w:bCs/>
        </w:rPr>
        <w:t xml:space="preserve">Visión Cero</w:t>
      </w:r>
      <w:r>
        <w:rPr>
          <w:rFonts w:ascii="Cambria" w:hAnsi="Cambria"/>
        </w:rPr>
        <w:t xml:space="preserve"> de la UE, norma </w:t>
      </w:r>
      <w:r>
        <w:rPr>
          <w:rFonts w:ascii="Cambria" w:hAnsi="Cambria"/>
          <w:b/>
          <w:bCs/>
        </w:rPr>
        <w:t xml:space="preserve">IATF 16949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SUBSECTOR DE COMPONENTES DE AUTOMOCIÓN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 las empresas son multinacionales, con el </w:t>
      </w:r>
      <w:r>
        <w:rPr>
          <w:rFonts w:ascii="Cambria" w:hAnsi="Cambria"/>
          <w:b/>
          <w:bCs/>
        </w:rPr>
        <w:t xml:space="preserve">77 %</w:t>
      </w:r>
      <w:r>
        <w:rPr>
          <w:rFonts w:ascii="Cambria" w:hAnsi="Cambria"/>
        </w:rPr>
        <w:t xml:space="preserve"> de los trabajadores. Segmentos: neumáticos y caucho, motor y piezas, equipo eléctrico, carrocería y chasis.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ocupa el </w:t>
      </w:r>
      <w:r>
        <w:rPr>
          <w:rFonts w:ascii="Cambria" w:hAnsi="Cambria"/>
          <w:b/>
          <w:bCs/>
        </w:rPr>
        <w:t xml:space="preserve">4.º lugar europeo</w:t>
      </w:r>
      <w:r>
        <w:rPr>
          <w:rFonts w:ascii="Cambria" w:hAnsi="Cambria"/>
        </w:rPr>
        <w:t xml:space="preserve"> en componentes. En torno al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 de las piezas de los vehículos fabricados en España proceden del propio sector.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Saldo comercial deficitario: exportaciones a la UE, Marruecos y Reino Unido, importaciones desde la UE con peso creciente de China, Turquía y Marruecos.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electrificación sustituye componentes de combustión por tracción eléctrica (baterías, motores eléctricos, electrónica de potencia).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ICEX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MECE</w:t>
      </w:r>
      <w:r>
        <w:rPr>
          <w:rFonts w:ascii="Cambria" w:hAnsi="Cambria"/>
        </w:rPr>
        <w:t xml:space="preserve"> apoyan la internacionalización vía </w:t>
      </w:r>
      <w:r>
        <w:rPr>
          <w:rFonts w:ascii="Cambria" w:hAnsi="Cambria"/>
          <w:b/>
          <w:bCs/>
        </w:rPr>
        <w:t xml:space="preserve">SERNAUTO</w:t>
      </w:r>
      <w:r>
        <w:rPr>
          <w:rFonts w:ascii="Cambria" w:hAnsi="Cambria"/>
        </w:rPr>
        <w:t xml:space="preserve"> en ferias como Equip Auto.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sectores ferroviario, de carretera, naval, aeronáutico, espacial y de automoción constituyen la base de la industria española por su empleo, exportación y efecto tractor.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transforman por tres vectores: descarbonización, digitalización y competencia geopolítica.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parte de una posición favorable por la fortaleza de estos sectores y la captación de inversión en transición energética y digital, lo que exige reforzar innovación, capital humano e internacionalización.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17 – Sector de bienes de equipo (II): Material de transporte (excepto automóvil): ferroviario, carretera, buques, aeronaves y material espacial. Sector de Automoción. Componentes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