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proceso de industrialización español de los años 60 generó una estructura sesgada hacia sectores tradicionales intensivos en mano de obra, con dependencia energética y tecnológica y predominio de pymes.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entrada en la </w:t>
      </w:r>
      <w:r>
        <w:rPr>
          <w:rFonts w:ascii="Cambria" w:hAnsi="Cambria"/>
          <w:b/>
          <w:bCs/>
        </w:rPr>
        <w:t xml:space="preserve">CEE en 1986</w:t>
      </w:r>
      <w:r>
        <w:rPr>
          <w:rFonts w:ascii="Cambria" w:hAnsi="Cambria"/>
        </w:rPr>
        <w:t xml:space="preserve"> exigió completar la reconversión industrial y adaptarse al Mercado Único y a la liberalización de sectores protegidos.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secundario representa el </w:t>
      </w:r>
      <w:r>
        <w:rPr>
          <w:rFonts w:ascii="Cambria" w:hAnsi="Cambria"/>
          <w:b/>
          <w:bCs/>
        </w:rPr>
        <w:t xml:space="preserve">16,4 %</w:t>
      </w:r>
      <w:r>
        <w:rPr>
          <w:rFonts w:ascii="Cambria" w:hAnsi="Cambria"/>
        </w:rPr>
        <w:t xml:space="preserve"> del VAB y el </w:t>
      </w:r>
      <w:r>
        <w:rPr>
          <w:rFonts w:ascii="Cambria" w:hAnsi="Cambria"/>
          <w:b/>
          <w:bCs/>
        </w:rPr>
        <w:t xml:space="preserve">13,2 %</w:t>
      </w:r>
      <w:r>
        <w:rPr>
          <w:rFonts w:ascii="Cambria" w:hAnsi="Cambria"/>
        </w:rPr>
        <w:t xml:space="preserve"> del empleo (INE 2022). La industria manufacturera se divide en bienes intermedios, bienes de equipo y bienes de consumo.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</w:t>
      </w:r>
      <w:r>
        <w:rPr>
          <w:rFonts w:ascii="Cambria" w:hAnsi="Cambria"/>
          <w:b/>
          <w:bCs/>
        </w:rPr>
        <w:t xml:space="preserve">bienes de consumo duradero</w:t>
      </w:r>
      <w:r>
        <w:rPr>
          <w:rFonts w:ascii="Cambria" w:hAnsi="Cambria"/>
        </w:rPr>
        <w:t xml:space="preserve"> tienen una vida útil superior a un año y son demandados por familias, empresas y sector público. Representan el </w:t>
      </w:r>
      <w:r>
        <w:rPr>
          <w:rFonts w:ascii="Cambria" w:hAnsi="Cambria"/>
          <w:b/>
          <w:bCs/>
        </w:rPr>
        <w:t xml:space="preserve">1,6 %</w:t>
      </w:r>
      <w:r>
        <w:rPr>
          <w:rFonts w:ascii="Cambria" w:hAnsi="Cambria"/>
        </w:rPr>
        <w:t xml:space="preserve"> de las exportaciones y el </w:t>
      </w:r>
      <w:r>
        <w:rPr>
          <w:rFonts w:ascii="Cambria" w:hAnsi="Cambria"/>
          <w:b/>
          <w:bCs/>
        </w:rPr>
        <w:t xml:space="preserve">2,6 %</w:t>
      </w:r>
      <w:r>
        <w:rPr>
          <w:rFonts w:ascii="Cambria" w:hAnsi="Cambria"/>
        </w:rPr>
        <w:t xml:space="preserve"> de las importaciones españolas, destacando muebles (</w:t>
      </w:r>
      <w:r>
        <w:rPr>
          <w:rFonts w:ascii="Cambria" w:hAnsi="Cambria"/>
          <w:b/>
          <w:bCs/>
        </w:rPr>
        <w:t xml:space="preserve">50,5 %</w:t>
      </w:r>
      <w:r>
        <w:rPr>
          <w:rFonts w:ascii="Cambria" w:hAnsi="Cambria"/>
        </w:rPr>
        <w:t xml:space="preserve"> de las exportaciones y </w:t>
      </w:r>
      <w:r>
        <w:rPr>
          <w:rFonts w:ascii="Cambria" w:hAnsi="Cambria"/>
          <w:b/>
          <w:bCs/>
        </w:rPr>
        <w:t xml:space="preserve">37,4 %</w:t>
      </w:r>
      <w:r>
        <w:rPr>
          <w:rFonts w:ascii="Cambria" w:hAnsi="Cambria"/>
        </w:rPr>
        <w:t xml:space="preserve"> de las importaciones del sector, DATACOMEX/BEICE MINCOTUR).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Legislación general del sector industrial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21/1992, de Industria</w:t>
      </w:r>
      <w:r>
        <w:rPr>
          <w:rFonts w:ascii="Cambria" w:hAnsi="Cambria"/>
        </w:rPr>
        <w:t xml:space="preserve">: adapta la regulación industrial española a la normativa de la UE y del Mercado Único.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1072/2015</w:t>
      </w:r>
      <w:r>
        <w:rPr>
          <w:rFonts w:ascii="Cambria" w:hAnsi="Cambria"/>
        </w:rPr>
        <w:t xml:space="preserve">: Reglamento de la Infraestructura para la Calidad y la Seguridad Industrial, reconoce a </w:t>
      </w:r>
      <w:r>
        <w:rPr>
          <w:rFonts w:ascii="Cambria" w:hAnsi="Cambria"/>
          <w:b/>
          <w:bCs/>
        </w:rPr>
        <w:t xml:space="preserve">AENOR</w:t>
      </w:r>
      <w:r>
        <w:rPr>
          <w:rFonts w:ascii="Cambria" w:hAnsi="Cambria"/>
        </w:rPr>
        <w:t xml:space="preserve"> como organismo de normalización y a </w:t>
      </w: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 como entidad de acreditación.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1801/2003</w:t>
      </w:r>
      <w:r>
        <w:rPr>
          <w:rFonts w:ascii="Cambria" w:hAnsi="Cambria"/>
        </w:rPr>
        <w:t xml:space="preserve">: seguridad general de productos.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330/2008</w:t>
      </w:r>
      <w:r>
        <w:rPr>
          <w:rFonts w:ascii="Cambria" w:hAnsi="Cambria"/>
        </w:rPr>
        <w:t xml:space="preserve">: controles a la importación de productos industriales (textiles/EPIs, juguetes, calzado, pequeños aparatos eléctricos y, tras la Orden PR/735/2010, muebles), ejecutados por 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2019/515</w:t>
      </w:r>
      <w:r>
        <w:rPr>
          <w:rFonts w:ascii="Cambria" w:hAnsi="Cambria"/>
        </w:rPr>
        <w:t xml:space="preserve">: reconocimiento mutuo de mercancías comercializadas legalmente en otro Estado miembro.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Decisión 768/2008/CE</w:t>
      </w:r>
      <w:r>
        <w:rPr>
          <w:rFonts w:ascii="Cambria" w:hAnsi="Cambria"/>
        </w:rPr>
        <w:t xml:space="preserve">: acreditación, vigilancia de mercado y marco común de comercialización de productos.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2023/988 (RGSP)</w:t>
      </w:r>
      <w:r>
        <w:rPr>
          <w:rFonts w:ascii="Cambria" w:hAnsi="Cambria"/>
        </w:rPr>
        <w:t xml:space="preserve">: nuevo Reglamento General de Seguridad de Productos, sustituye a la Directiva 2001/95/CE e introduce obligaciones para venta en línea y mercados electrónicos, relevante para muebles y electrodomésticos.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Legislativo 1/2007</w:t>
      </w:r>
      <w:r>
        <w:rPr>
          <w:rFonts w:ascii="Cambria" w:hAnsi="Cambria"/>
        </w:rPr>
        <w:t xml:space="preserve">: texto refundido de la Ley General para la Defensa de los Consumidores y Usuarios, exige conformidad del bien con lo ofrecido.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(UE) 2019/771</w:t>
      </w:r>
      <w:r>
        <w:rPr>
          <w:rFonts w:ascii="Cambria" w:hAnsi="Cambria"/>
        </w:rPr>
        <w:t xml:space="preserve">: armoniza conformidad, garantía legal y remedios del consumidor, transpuesta por el </w:t>
      </w:r>
      <w:r>
        <w:rPr>
          <w:rFonts w:ascii="Cambria" w:hAnsi="Cambria"/>
          <w:b/>
          <w:bCs/>
        </w:rPr>
        <w:t xml:space="preserve">Real Decreto-Ley 7/2021</w:t>
      </w:r>
      <w:r>
        <w:rPr>
          <w:rFonts w:ascii="Cambria" w:hAnsi="Cambria"/>
        </w:rPr>
        <w:t xml:space="preserve"> (modifica el TRLGDCU), con garantía legal de </w:t>
      </w:r>
      <w:r>
        <w:rPr>
          <w:rFonts w:ascii="Cambria" w:hAnsi="Cambria"/>
          <w:b/>
          <w:bCs/>
        </w:rPr>
        <w:t xml:space="preserve">3 años</w:t>
      </w:r>
      <w:r>
        <w:rPr>
          <w:rFonts w:ascii="Cambria" w:hAnsi="Cambria"/>
        </w:rPr>
        <w:t xml:space="preserve"> para bienes nuevos (antes 2).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SUBSECTOR DE MUEBLES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Descripción y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Engloba cinco tipos: muebles de cocina y baño, de hogar, de jardín, de oficina, y somieres y colchones.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Aporta en torno al </w:t>
      </w:r>
      <w:r>
        <w:rPr>
          <w:rFonts w:ascii="Cambria" w:hAnsi="Cambria"/>
          <w:b/>
          <w:bCs/>
        </w:rPr>
        <w:t xml:space="preserve">0,9 %</w:t>
      </w:r>
      <w:r>
        <w:rPr>
          <w:rFonts w:ascii="Cambria" w:hAnsi="Cambria"/>
        </w:rPr>
        <w:t xml:space="preserve"> de la producción industrial y el </w:t>
      </w:r>
      <w:r>
        <w:rPr>
          <w:rFonts w:ascii="Cambria" w:hAnsi="Cambria"/>
          <w:b/>
          <w:bCs/>
        </w:rPr>
        <w:t xml:space="preserve">1,2 %</w:t>
      </w:r>
      <w:r>
        <w:rPr>
          <w:rFonts w:ascii="Cambria" w:hAnsi="Cambria"/>
        </w:rPr>
        <w:t xml:space="preserve"> del VAB (INE). Presenta déficit comercial estructural, con tendencia a reducirse por el crecimiento exportador.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China</w:t>
      </w:r>
      <w:r>
        <w:rPr>
          <w:rFonts w:ascii="Cambria" w:hAnsi="Cambria"/>
        </w:rPr>
        <w:t xml:space="preserve"> es el principal productor y exportador mundial. En Europa, </w:t>
      </w:r>
      <w:r>
        <w:rPr>
          <w:rFonts w:ascii="Cambria" w:hAnsi="Cambria"/>
          <w:b/>
          <w:bCs/>
        </w:rPr>
        <w:t xml:space="preserve">Italia</w:t>
      </w:r>
      <w:r>
        <w:rPr>
          <w:rFonts w:ascii="Cambria" w:hAnsi="Cambria"/>
        </w:rPr>
        <w:t xml:space="preserve"> es el primer exportador. Principales productores europeos: Alemania, Italia, Polonia, Francia y España.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producción nacional se concentra en Comunidad Valenciana, Cataluña, Andalucía y Madrid, con empresas casi todas pymes (</w:t>
      </w:r>
      <w:r>
        <w:rPr>
          <w:rFonts w:ascii="Cambria" w:hAnsi="Cambria"/>
          <w:b/>
          <w:bCs/>
        </w:rPr>
        <w:t xml:space="preserve">99,9 %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evoluciona hacia una actividad basada en el conocimiento y dirigida por los mercados, apostando por diseño, sostenibilidad y nuevos mercados ante la presión asiática. Fuerte vinculación con la construcción.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ANIEME</w:t>
      </w:r>
      <w:r>
        <w:rPr>
          <w:rFonts w:ascii="Cambria" w:hAnsi="Cambria"/>
        </w:rPr>
        <w:t xml:space="preserve"> (Asociación Nacional de la Industria y Exportación de Muebles de España) defiende y promociona el sector.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sostenibilidad es un factor competitivo clave: el </w:t>
      </w:r>
      <w:r>
        <w:rPr>
          <w:rFonts w:ascii="Cambria" w:hAnsi="Cambria"/>
          <w:b/>
          <w:bCs/>
        </w:rPr>
        <w:t xml:space="preserve">Reglamento (UE) 2023/1115 (EUDR)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Reglamento EUTR</w:t>
      </w:r>
      <w:r>
        <w:rPr>
          <w:rFonts w:ascii="Cambria" w:hAnsi="Cambria"/>
        </w:rPr>
        <w:t xml:space="preserve"> exigen trazabilidad de la madera, y el </w:t>
      </w:r>
      <w:r>
        <w:rPr>
          <w:rFonts w:ascii="Cambria" w:hAnsi="Cambria"/>
          <w:b/>
          <w:bCs/>
        </w:rPr>
        <w:t xml:space="preserve">Reglamento (UE) 2024/1781 (ESPR)</w:t>
      </w:r>
      <w:r>
        <w:rPr>
          <w:rFonts w:ascii="Cambria" w:hAnsi="Cambria"/>
        </w:rPr>
        <w:t xml:space="preserve">, establecerá requisitos de durabilidad, reparabilidad y contenido reciclado para el mobiliario.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Normativa aplicable a muebles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 existe directiva específica de producto para muebles, la normativa es general, complementada por normas técnicas AENOR.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1801/2003</w:t>
      </w:r>
      <w:r>
        <w:rPr>
          <w:rFonts w:ascii="Cambria" w:hAnsi="Cambria"/>
        </w:rPr>
        <w:t xml:space="preserve">: seguridad general de productos, base de los controles SOIVRE en importación.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330/2008</w:t>
      </w:r>
      <w:r>
        <w:rPr>
          <w:rFonts w:ascii="Cambria" w:hAnsi="Cambria"/>
        </w:rPr>
        <w:t xml:space="preserve">, modificado por Orden PR/735/2010: incluye muebles y productos de madera en el control de importación SOIVRE, a petición de CONFEMADERA.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841/1985</w:t>
      </w:r>
      <w:r>
        <w:rPr>
          <w:rFonts w:ascii="Cambria" w:hAnsi="Cambria"/>
        </w:rPr>
        <w:t xml:space="preserve">: emisión de formaldehído en barnices y colas inferior a </w:t>
      </w:r>
      <w:r>
        <w:rPr>
          <w:rFonts w:ascii="Cambria" w:hAnsi="Cambria"/>
          <w:b/>
          <w:bCs/>
        </w:rPr>
        <w:t xml:space="preserve">0,15 mg/m³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412/2012</w:t>
      </w:r>
      <w:r>
        <w:rPr>
          <w:rFonts w:ascii="Cambria" w:hAnsi="Cambria"/>
        </w:rPr>
        <w:t xml:space="preserve">: límites de dimetilfumarato (DMF) en muebles, modifica REACH.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2023/1115 (EUDR)</w:t>
      </w:r>
      <w:r>
        <w:rPr>
          <w:rFonts w:ascii="Cambria" w:hAnsi="Cambria"/>
        </w:rPr>
        <w:t xml:space="preserve">: trazabilidad de la madera para evitar procedencia de zonas deforestadas.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2024/1781 (ESPR)</w:t>
      </w:r>
      <w:r>
        <w:rPr>
          <w:rFonts w:ascii="Cambria" w:hAnsi="Cambria"/>
        </w:rPr>
        <w:t xml:space="preserve">: desarrollará requisitos de durabilidad, reparabilidad y contenido reciclado para mobiliario.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Etiquetado de muebles importados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Conforme al RD 330/2008 y la Orden PRE/735/2010, deben incluir: nombre o razón social del importador, dirección postal del importador, referencia del modelo trazable en factura comercial.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cunas, moisés, tronas y literas, indicación de la norma de cumplimiento y advertencias de seguridad.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Instrucciones de montaje y/o uso en castellano cuando lo exija la norma o venga desmontado.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muebles </w:t>
      </w:r>
      <w:r>
        <w:rPr>
          <w:rFonts w:ascii="Cambria" w:hAnsi="Cambria"/>
          <w:b/>
          <w:bCs/>
        </w:rPr>
        <w:t xml:space="preserve">no pueden llevar marcado CE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Mobiliario controlado por el SOIVRE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Mobiliario infantil: moisés y cunas balancín (</w:t>
      </w:r>
      <w:r>
        <w:rPr>
          <w:rFonts w:ascii="Cambria" w:hAnsi="Cambria"/>
          <w:b/>
          <w:bCs/>
        </w:rPr>
        <w:t xml:space="preserve">UNE-EN 1130-1/2</w:t>
      </w:r>
      <w:r>
        <w:rPr>
          <w:rFonts w:ascii="Cambria" w:hAnsi="Cambria"/>
        </w:rPr>
        <w:t xml:space="preserve">), cunas (</w:t>
      </w:r>
      <w:r>
        <w:rPr>
          <w:rFonts w:ascii="Cambria" w:hAnsi="Cambria"/>
          <w:b/>
          <w:bCs/>
        </w:rPr>
        <w:t xml:space="preserve">UNE-EN 716-1/2</w:t>
      </w:r>
      <w:r>
        <w:rPr>
          <w:rFonts w:ascii="Cambria" w:hAnsi="Cambria"/>
        </w:rPr>
        <w:t xml:space="preserve">), tronas y cambiadores.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Mobiliario de oficina: sillas de trabajo (</w:t>
      </w:r>
      <w:r>
        <w:rPr>
          <w:rFonts w:ascii="Cambria" w:hAnsi="Cambria"/>
          <w:b/>
          <w:bCs/>
        </w:rPr>
        <w:t xml:space="preserve">UNE-EN 1335-1/2</w:t>
      </w:r>
      <w:r>
        <w:rPr>
          <w:rFonts w:ascii="Cambria" w:hAnsi="Cambria"/>
        </w:rPr>
        <w:t xml:space="preserve">), sillas de confidente (</w:t>
      </w:r>
      <w:r>
        <w:rPr>
          <w:rFonts w:ascii="Cambria" w:hAnsi="Cambria"/>
          <w:b/>
          <w:bCs/>
        </w:rPr>
        <w:t xml:space="preserve">UNE-EN 16139</w:t>
      </w:r>
      <w:r>
        <w:rPr>
          <w:rFonts w:ascii="Cambria" w:hAnsi="Cambria"/>
        </w:rPr>
        <w:t xml:space="preserve">), mesas y mobiliario de archivo.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Mobiliario para adultos: literas (</w:t>
      </w:r>
      <w:r>
        <w:rPr>
          <w:rFonts w:ascii="Cambria" w:hAnsi="Cambria"/>
          <w:b/>
          <w:bCs/>
        </w:rPr>
        <w:t xml:space="preserve">UNE-EN 747-1/2</w:t>
      </w:r>
      <w:r>
        <w:rPr>
          <w:rFonts w:ascii="Cambria" w:hAnsi="Cambria"/>
        </w:rPr>
        <w:t xml:space="preserve">, no aplica a camas plegables, de camping ni convertibles en sofá), camas abatibles (</w:t>
      </w:r>
      <w:r>
        <w:rPr>
          <w:rFonts w:ascii="Cambria" w:hAnsi="Cambria"/>
          <w:b/>
          <w:bCs/>
        </w:rPr>
        <w:t xml:space="preserve">UNE-EN 1129-1/2</w:t>
      </w:r>
      <w:r>
        <w:rPr>
          <w:rFonts w:ascii="Cambria" w:hAnsi="Cambria"/>
        </w:rPr>
        <w:t xml:space="preserve">), taburetes de peldaños (</w:t>
      </w:r>
      <w:r>
        <w:rPr>
          <w:rFonts w:ascii="Cambria" w:hAnsi="Cambria"/>
          <w:b/>
          <w:bCs/>
        </w:rPr>
        <w:t xml:space="preserve">UNE-EN 14183</w:t>
      </w:r>
      <w:r>
        <w:rPr>
          <w:rFonts w:ascii="Cambria" w:hAnsi="Cambria"/>
        </w:rPr>
        <w:t xml:space="preserve">), asientos alineados (</w:t>
      </w:r>
      <w:r>
        <w:rPr>
          <w:rFonts w:ascii="Cambria" w:hAnsi="Cambria"/>
          <w:b/>
          <w:bCs/>
        </w:rPr>
        <w:t xml:space="preserve">UNE-EN 12727</w:t>
      </w:r>
      <w:r>
        <w:rPr>
          <w:rFonts w:ascii="Cambria" w:hAnsi="Cambria"/>
        </w:rPr>
        <w:t xml:space="preserve">) y asientos de uso no doméstico (</w:t>
      </w:r>
      <w:r>
        <w:rPr>
          <w:rFonts w:ascii="Cambria" w:hAnsi="Cambria"/>
          <w:b/>
          <w:bCs/>
        </w:rPr>
        <w:t xml:space="preserve">UNE-EN 16139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 sujetos a control SOIVRE: asientos de uso médico/ortopédico, sillones de masaje y mesas (salvo las de oficina de metal o madera).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Inspección en frontera (SOIVRE)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el RD 330/2008, los importadores notifican telemáticamente a la Delegación o Dependencia de Comercio la mercancía a importar.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análisis de riesgo determina si procede el control, físico o documental, previo al despacho aduanero.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Producto conforme: se emite Certificado de Conformidad. No conforme: no se emite, la mercancía no se despacha y la aduana determina el destino aduanero.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Incumplimientos subsanables (p. ej. etiquetado) permiten despacho condicionado al compromiso de corrección del importador.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ELECTRODOMÉSTICOS Y ELECTRÓNICA DE CONSUMO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Descripción y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Línea blanca</w:t>
      </w:r>
      <w:r>
        <w:rPr>
          <w:rFonts w:ascii="Cambria" w:hAnsi="Cambria"/>
        </w:rPr>
        <w:t xml:space="preserve">: frío, lavado, cocción y climatización, segmento sólido impulsado por electrodomésticos de encastre.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Línea marrón</w:t>
      </w:r>
      <w:r>
        <w:rPr>
          <w:rFonts w:ascii="Cambria" w:hAnsi="Cambria"/>
        </w:rPr>
        <w:t xml:space="preserve"> (electrónica de consumo): televisores, audio, video, cámaras, redefinida por pantallas planas 4K/8K, streaming y smart home.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Pequeño Aparato Electrodoméstico (PAE)</w:t>
      </w:r>
      <w:r>
        <w:rPr>
          <w:rFonts w:ascii="Cambria" w:hAnsi="Cambria"/>
        </w:rPr>
        <w:t xml:space="preserve">: mantenimiento del hogar, preparación alimentaria e higiene y belleza, comercializado en hipermercados y comercio especializado.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producción mundial la lidera la </w:t>
      </w:r>
      <w:r>
        <w:rPr>
          <w:rFonts w:ascii="Cambria" w:hAnsi="Cambria"/>
          <w:b/>
          <w:bCs/>
        </w:rPr>
        <w:t xml:space="preserve">UE</w:t>
      </w:r>
      <w:r>
        <w:rPr>
          <w:rFonts w:ascii="Cambria" w:hAnsi="Cambria"/>
        </w:rPr>
        <w:t xml:space="preserve">, seguida de EEUU y Japón, con irrupción creciente de China en línea marrón y PAE.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Grandes multinacionales: BSH, Electrolux, Whirlpool, Miele y Samsung. En España destacan BSH (Balay), Electrolux y Amica (adquirió Fagor tras el cierre de Corporación Mondragón en 2013).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Saldo comercial deficitario estructural. El frigorífico es el producto estrella exportador (casi la mitad de exportaciones), seguido de lavadoras y planchas. Exportación a la UE, importación principalmente de China e Italia.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Obsolescencia programada y derecho a la reparación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obsolescencia programada genera un gran volumen de </w:t>
      </w:r>
      <w:r>
        <w:rPr>
          <w:rFonts w:ascii="Cambria" w:hAnsi="Cambria"/>
          <w:b/>
          <w:bCs/>
        </w:rPr>
        <w:t xml:space="preserve">RAEE</w:t>
      </w:r>
      <w:r>
        <w:rPr>
          <w:rFonts w:ascii="Cambria" w:hAnsi="Cambria"/>
        </w:rPr>
        <w:t xml:space="preserve"> (residuos de aparatos eléctricos y electrónicos), nocivos para salud y medioambiente.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2024/1781 (ESPR)</w:t>
      </w:r>
      <w:r>
        <w:rPr>
          <w:rFonts w:ascii="Cambria" w:hAnsi="Cambria"/>
        </w:rPr>
        <w:t xml:space="preserve"> y la </w:t>
      </w:r>
      <w:r>
        <w:rPr>
          <w:rFonts w:ascii="Cambria" w:hAnsi="Cambria"/>
          <w:b/>
          <w:bCs/>
        </w:rPr>
        <w:t xml:space="preserve">Directiva (UE) 2024/1799</w:t>
      </w:r>
      <w:r>
        <w:rPr>
          <w:rFonts w:ascii="Cambria" w:hAnsi="Cambria"/>
        </w:rPr>
        <w:t xml:space="preserve"> establecen el derecho a la reparación, obligando a ofrecer reparación a precios razonables y disponibilidad de piezas de repuesto durante al menos </w:t>
      </w:r>
      <w:r>
        <w:rPr>
          <w:rFonts w:ascii="Cambria" w:hAnsi="Cambria"/>
          <w:b/>
          <w:bCs/>
        </w:rPr>
        <w:t xml:space="preserve">10 años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2017/1369</w:t>
      </w:r>
      <w:r>
        <w:rPr>
          <w:rFonts w:ascii="Cambria" w:hAnsi="Cambria"/>
        </w:rPr>
        <w:t xml:space="preserve">: marco del etiquetado energético, escala de clases de A a G, sustituye a la Directiva 92/75/CEE, completado por reglamentos delegados por tipo de aparato.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Reglamentos delegados 2019-2021: requisitos mínimos y nueva escala A-G sin subclases para frigoríficos, lavadoras, lavavajillas, secadoras y televisores, aplicables desde marzo de 2021.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2009/125/CE (Ecodiseño)</w:t>
      </w:r>
      <w:r>
        <w:rPr>
          <w:rFonts w:ascii="Cambria" w:hAnsi="Cambria"/>
        </w:rPr>
        <w:t xml:space="preserve">: marco de requisitos medioambientales de diseño para productos que usan energía, con Etiqueta Ecológica Europea para lavadoras, lavavajillas y frigoríficos.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2024/1781 (ESPR)</w:t>
      </w:r>
      <w:r>
        <w:rPr>
          <w:rFonts w:ascii="Cambria" w:hAnsi="Cambria"/>
        </w:rPr>
        <w:t xml:space="preserve">: sustituye a la Directiva de Ecodiseño, incorpora durabilidad, reparabilidad, actualizabilidad de software, materiales reciclados y pasaporte digital de producto (DPP).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Plan de Ahorro y Eficiencia Energética y </w:t>
      </w:r>
      <w:r>
        <w:rPr>
          <w:rFonts w:ascii="Cambria" w:hAnsi="Cambria"/>
          <w:b/>
          <w:bCs/>
        </w:rPr>
        <w:t xml:space="preserve">Plan RENOVE de Electrodomésticos</w:t>
      </w:r>
      <w:r>
        <w:rPr>
          <w:rFonts w:ascii="Cambria" w:hAnsi="Cambria"/>
        </w:rPr>
        <w:t xml:space="preserve"> (MINCOTUR/IDAE y CCAA): incentiva sustituir electrodomésticos antiguos por clase A o superior, objetivo de </w:t>
      </w:r>
      <w:r>
        <w:rPr>
          <w:rFonts w:ascii="Cambria" w:hAnsi="Cambria"/>
          <w:b/>
          <w:bCs/>
        </w:rPr>
        <w:t xml:space="preserve">2 millones</w:t>
      </w:r>
      <w:r>
        <w:rPr>
          <w:rFonts w:ascii="Cambria" w:hAnsi="Cambria"/>
        </w:rPr>
        <w:t xml:space="preserve"> de unidades.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110/2015 (RAEE)</w:t>
      </w:r>
      <w:r>
        <w:rPr>
          <w:rFonts w:ascii="Cambria" w:hAnsi="Cambria"/>
        </w:rPr>
        <w:t xml:space="preserve">: transpone la Directiva 2012/19/UE, gestión ambiental de residuos de aparatos eléctricos y electrónicos.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2011/65/UE (RoHS)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Real Decreto 219/2013</w:t>
      </w:r>
      <w:r>
        <w:rPr>
          <w:rFonts w:ascii="Cambria" w:hAnsi="Cambria"/>
        </w:rPr>
        <w:t xml:space="preserve">: restringe sustancias peligrosas, plomo (máx. </w:t>
      </w:r>
      <w:r>
        <w:rPr>
          <w:rFonts w:ascii="Cambria" w:hAnsi="Cambria"/>
          <w:b/>
          <w:bCs/>
        </w:rPr>
        <w:t xml:space="preserve">0,1 %</w:t>
      </w:r>
      <w:r>
        <w:rPr>
          <w:rFonts w:ascii="Cambria" w:hAnsi="Cambria"/>
        </w:rPr>
        <w:t xml:space="preserve">), mercurio (máx. </w:t>
      </w:r>
      <w:r>
        <w:rPr>
          <w:rFonts w:ascii="Cambria" w:hAnsi="Cambria"/>
          <w:b/>
          <w:bCs/>
        </w:rPr>
        <w:t xml:space="preserve">0,1 %</w:t>
      </w:r>
      <w:r>
        <w:rPr>
          <w:rFonts w:ascii="Cambria" w:hAnsi="Cambria"/>
        </w:rPr>
        <w:t xml:space="preserve">) y cadmio (máx. </w:t>
      </w:r>
      <w:r>
        <w:rPr>
          <w:rFonts w:ascii="Cambria" w:hAnsi="Cambria"/>
          <w:b/>
          <w:bCs/>
        </w:rPr>
        <w:t xml:space="preserve">0,01 %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(UE) 2024/1799</w:t>
      </w:r>
      <w:r>
        <w:rPr>
          <w:rFonts w:ascii="Cambria" w:hAnsi="Cambria"/>
        </w:rPr>
        <w:t xml:space="preserve">: derecho a la reparación, piezas de repuesto disponibles al menos </w:t>
      </w:r>
      <w:r>
        <w:rPr>
          <w:rFonts w:ascii="Cambria" w:hAnsi="Cambria"/>
          <w:b/>
          <w:bCs/>
        </w:rPr>
        <w:t xml:space="preserve">10 años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2014/35/UE (Baja Tensión)</w:t>
      </w:r>
      <w:r>
        <w:rPr>
          <w:rFonts w:ascii="Cambria" w:hAnsi="Cambria"/>
        </w:rPr>
        <w:t xml:space="preserve">, transpuesta por RD 187/2016: seguridad del material eléctrico.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2014/30/UE (CEM)</w:t>
      </w:r>
      <w:r>
        <w:rPr>
          <w:rFonts w:ascii="Cambria" w:hAnsi="Cambria"/>
        </w:rPr>
        <w:t xml:space="preserve">: compatibilidad electromagnética, límites de perturbaciones.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OTROS BIENES DE CONSUMO DURADERO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Incluyen instrumentos de óptica y equipos fotográficos, relojes, motocicletas y bicicletas, y artículos de joyería, orfebrería y platería.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Joyería, orfebrería y relojería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Mano de obra especializada y productos de calidad, con exportaciones en torno al </w:t>
      </w:r>
      <w:r>
        <w:rPr>
          <w:rFonts w:ascii="Cambria" w:hAnsi="Cambria"/>
          <w:b/>
          <w:bCs/>
        </w:rPr>
        <w:t xml:space="preserve">20 %</w:t>
      </w:r>
      <w:r>
        <w:rPr>
          <w:rFonts w:ascii="Cambria" w:hAnsi="Cambria"/>
        </w:rPr>
        <w:t xml:space="preserve"> de la fabricación total.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 la </w:t>
      </w:r>
      <w:r>
        <w:rPr>
          <w:rFonts w:ascii="Cambria" w:hAnsi="Cambria"/>
          <w:b/>
          <w:bCs/>
        </w:rPr>
        <w:t xml:space="preserve">cuarta</w:t>
      </w:r>
      <w:r>
        <w:rPr>
          <w:rFonts w:ascii="Cambria" w:hAnsi="Cambria"/>
        </w:rPr>
        <w:t xml:space="preserve"> fabricante europea de relojes, tras Italia, Reino Unido y Suiza.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Regiones productoras: Córdoba (orfebrería en plata), Valencia, Madrid y Barcelona. Empresas destacadas: Festina, Calypso, Carrera y Tous.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Balanza comercial deficitaria, con tasa de cobertura en torno al </w:t>
      </w:r>
      <w:r>
        <w:rPr>
          <w:rFonts w:ascii="Cambria" w:hAnsi="Cambria"/>
          <w:b/>
          <w:bCs/>
        </w:rPr>
        <w:t xml:space="preserve">70 %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Motocicletas y bicicletas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Producción concentrada en vehículos de dos ruedas, con crecimiento de motocicletas de </w:t>
      </w:r>
      <w:r>
        <w:rPr>
          <w:rFonts w:ascii="Cambria" w:hAnsi="Cambria"/>
          <w:b/>
          <w:bCs/>
        </w:rPr>
        <w:t xml:space="preserve">125 cc</w:t>
      </w:r>
      <w:r>
        <w:rPr>
          <w:rFonts w:ascii="Cambria" w:hAnsi="Cambria"/>
        </w:rPr>
        <w:t xml:space="preserve"> impulsado por la posibilidad de conducirlas con carnet de turismo de más de tres años y por la supresión del impuesto de matriculación.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bicicleta eléctrica (pedelec)</w:t>
      </w:r>
      <w:r>
        <w:rPr>
          <w:rFonts w:ascii="Cambria" w:hAnsi="Cambria"/>
        </w:rPr>
        <w:t xml:space="preserve"> crece con fuerza por la congestión urbana, la movilidad sostenible y subvenciones de la UE y las CCAA, con España como mercado consumidor y productor emergente de e-bikes.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Normativa aplicable a otros bienes de consumo duradero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Legislativo 1/2007 (TRLGDCU)</w:t>
      </w:r>
      <w:r>
        <w:rPr>
          <w:rFonts w:ascii="Cambria" w:hAnsi="Cambria"/>
        </w:rPr>
        <w:t xml:space="preserve">: exige conformidad del bien con lo ofrecido en venta, publicidad o etiquetado.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(UE) 2019/771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Real Decreto-Ley 7/2021</w:t>
      </w:r>
      <w:r>
        <w:rPr>
          <w:rFonts w:ascii="Cambria" w:hAnsi="Cambria"/>
        </w:rPr>
        <w:t xml:space="preserve">: garantía legal de </w:t>
      </w:r>
      <w:r>
        <w:rPr>
          <w:rFonts w:ascii="Cambria" w:hAnsi="Cambria"/>
          <w:b/>
          <w:bCs/>
        </w:rPr>
        <w:t xml:space="preserve">3 años</w:t>
      </w:r>
      <w:r>
        <w:rPr>
          <w:rFonts w:ascii="Cambria" w:hAnsi="Cambria"/>
        </w:rPr>
        <w:t xml:space="preserve">, obliga a reparar o sustituir sin cargo.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2023/988 (RGSP)</w:t>
      </w:r>
      <w:r>
        <w:rPr>
          <w:rFonts w:ascii="Cambria" w:hAnsi="Cambria"/>
        </w:rPr>
        <w:t xml:space="preserve">: seguridad general de productos, aplicable a bicicletas, relojes y joyería.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2024/1781 (ESPR)</w:t>
      </w:r>
      <w:r>
        <w:rPr>
          <w:rFonts w:ascii="Cambria" w:hAnsi="Cambria"/>
        </w:rPr>
        <w:t xml:space="preserve">: requisitos de durabilidad y reparabilidad para bicicletas eléctricas y otros bienes de consumo duradero.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1907/2006 (REACH)</w:t>
      </w:r>
      <w:r>
        <w:rPr>
          <w:rFonts w:ascii="Cambria" w:hAnsi="Cambria"/>
        </w:rPr>
        <w:t xml:space="preserve">: restricciones a sustancias peligrosas en joyería y orfebrería (cadmio, plomo, níquel).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197/1988</w:t>
      </w:r>
      <w:r>
        <w:rPr>
          <w:rFonts w:ascii="Cambria" w:hAnsi="Cambria"/>
        </w:rPr>
        <w:t xml:space="preserve">: regulación del comercio de metales preciosos, obligaciones de marcaje, contraste y trazabilidad.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18 – Sector de bienes de consumo duradero: muebles, electrodomésticos y electrónica de consumo.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