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jc w:val="both"/>
        <w:rPr>
          <w:rFonts w:ascii="Cambria" w:hAnsi="Cambria"/>
          <w:b/>
          <w:bCs/>
          <w:color w:val="auto"/>
          <w:sz w:val="28"/>
          <w:szCs w:val="28"/>
        </w:rPr>
      </w:pPr>
      <w:r>
        <w:rPr>
          <w:rFonts w:ascii="Cambria" w:hAnsi="Cambria"/>
          <w:b/>
          <w:bCs/>
          <w:color w:val="auto"/>
          <w:sz w:val="28"/>
          <w:szCs w:val="28"/>
        </w:rPr>
        <w:t xml:space="preserve">1. INTRODUCCIÓN</w:t>
      </w:r>
    </w:p>
    <w:p>
      <w:pPr>
        <w:numPr>
          <w:ilvl w:val="0"/>
          <w:numId w:val="1"/>
        </w:numPr>
        <w:jc w:val="both"/>
        <w:rPr>
          <w:rFonts w:ascii="Cambria" w:hAnsi="Cambria"/>
        </w:rPr>
      </w:pPr>
      <w:r>
        <w:rPr>
          <w:rFonts w:ascii="Cambria" w:hAnsi="Cambria"/>
        </w:rPr>
        <w:t xml:space="preserve">La industrialización española de los años 60 generó una estructura productiva sesgada hacia sectores tradicionales intensivos en mano de obra, con dependencia energética y tecnológica y elevada presencia de </w:t>
      </w:r>
      <w:r>
        <w:rPr>
          <w:rFonts w:ascii="Cambria" w:hAnsi="Cambria"/>
          <w:b/>
          <w:bCs/>
        </w:rPr>
        <w:t xml:space="preserve">pymes</w:t>
      </w:r>
      <w:r>
        <w:rPr>
          <w:rFonts w:ascii="Cambria" w:hAnsi="Cambria"/>
        </w:rPr>
        <w:t xml:space="preserve">.</w:t>
      </w:r>
    </w:p>
    <w:p>
      <w:pPr>
        <w:numPr>
          <w:ilvl w:val="0"/>
          <w:numId w:val="1"/>
        </w:numPr>
        <w:jc w:val="both"/>
        <w:rPr>
          <w:rFonts w:ascii="Cambria" w:hAnsi="Cambria"/>
        </w:rPr>
      </w:pPr>
      <w:r>
        <w:rPr>
          <w:rFonts w:ascii="Cambria" w:hAnsi="Cambria"/>
        </w:rPr>
        <w:t xml:space="preserve">La entrada en la </w:t>
      </w:r>
      <w:r>
        <w:rPr>
          <w:rFonts w:ascii="Cambria" w:hAnsi="Cambria"/>
          <w:b/>
          <w:bCs/>
        </w:rPr>
        <w:t xml:space="preserve">CEE en 1986</w:t>
      </w:r>
      <w:r>
        <w:rPr>
          <w:rFonts w:ascii="Cambria" w:hAnsi="Cambria"/>
        </w:rPr>
        <w:t xml:space="preserve"> exigió completar la reconversión industrial y adaptarse al Mercado Único y a las políticas liberalizadoras.</w:t>
      </w:r>
    </w:p>
    <w:p>
      <w:pPr>
        <w:numPr>
          <w:ilvl w:val="0"/>
          <w:numId w:val="1"/>
        </w:numPr>
        <w:jc w:val="both"/>
        <w:rPr>
          <w:rFonts w:ascii="Cambria" w:hAnsi="Cambria"/>
        </w:rPr>
      </w:pPr>
      <w:r>
        <w:rPr>
          <w:rFonts w:ascii="Cambria" w:hAnsi="Cambria"/>
        </w:rPr>
        <w:t xml:space="preserve">El sector secundario representa el </w:t>
      </w:r>
      <w:r>
        <w:rPr>
          <w:rFonts w:ascii="Cambria" w:hAnsi="Cambria"/>
          <w:b/>
          <w:bCs/>
        </w:rPr>
        <w:t xml:space="preserve">14,2 %</w:t>
      </w:r>
      <w:r>
        <w:rPr>
          <w:rFonts w:ascii="Cambria" w:hAnsi="Cambria"/>
        </w:rPr>
        <w:t xml:space="preserve"> del PIB, el </w:t>
      </w:r>
      <w:r>
        <w:rPr>
          <w:rFonts w:ascii="Cambria" w:hAnsi="Cambria"/>
          <w:b/>
          <w:bCs/>
        </w:rPr>
        <w:t xml:space="preserve">15,6 %</w:t>
      </w:r>
      <w:r>
        <w:rPr>
          <w:rFonts w:ascii="Cambria" w:hAnsi="Cambria"/>
        </w:rPr>
        <w:t xml:space="preserve"> del VAB y el </w:t>
      </w:r>
      <w:r>
        <w:rPr>
          <w:rFonts w:ascii="Cambria" w:hAnsi="Cambria"/>
          <w:b/>
          <w:bCs/>
        </w:rPr>
        <w:t xml:space="preserve">11,4 %</w:t>
      </w:r>
      <w:r>
        <w:rPr>
          <w:rFonts w:ascii="Cambria" w:hAnsi="Cambria"/>
        </w:rPr>
        <w:t xml:space="preserve"> del empleo (Informe Anual 2025, MINTUR).</w:t>
      </w:r>
    </w:p>
    <w:p>
      <w:pPr>
        <w:numPr>
          <w:ilvl w:val="0"/>
          <w:numId w:val="1"/>
        </w:numPr>
        <w:jc w:val="both"/>
        <w:rPr>
          <w:rFonts w:ascii="Cambria" w:hAnsi="Cambria"/>
        </w:rPr>
      </w:pPr>
      <w:r>
        <w:rPr>
          <w:rFonts w:ascii="Cambria" w:hAnsi="Cambria"/>
        </w:rPr>
        <w:t xml:space="preserve">Las manufacturas de consumo comprenden textil y confección, calzado, </w:t>
      </w:r>
      <w:r>
        <w:rPr>
          <w:rFonts w:ascii="Cambria" w:hAnsi="Cambria"/>
          <w:b/>
          <w:bCs/>
        </w:rPr>
        <w:t xml:space="preserve">EPIs</w:t>
      </w:r>
      <w:r>
        <w:rPr>
          <w:rFonts w:ascii="Cambria" w:hAnsi="Cambria"/>
        </w:rPr>
        <w:t xml:space="preserve">, juguete y pequeño material eléctrico.</w:t>
      </w:r>
    </w:p>
    <w:p>
      <w:pPr>
        <w:numPr>
          <w:ilvl w:val="0"/>
          <w:numId w:val="1"/>
        </w:numPr>
        <w:jc w:val="both"/>
        <w:rPr>
          <w:rFonts w:ascii="Cambria" w:hAnsi="Cambria"/>
        </w:rPr>
      </w:pPr>
      <w:r>
        <w:rPr>
          <w:rFonts w:ascii="Cambria" w:hAnsi="Cambria"/>
        </w:rPr>
        <w:t xml:space="preserve">Según </w:t>
      </w:r>
      <w:r>
        <w:rPr>
          <w:rFonts w:ascii="Cambria" w:hAnsi="Cambria"/>
          <w:b/>
          <w:bCs/>
        </w:rPr>
        <w:t xml:space="preserve">DATACOMEX</w:t>
      </w:r>
      <w:r>
        <w:rPr>
          <w:rFonts w:ascii="Cambria" w:hAnsi="Cambria"/>
        </w:rPr>
        <w:t xml:space="preserve"> (2025), el sector supone el </w:t>
      </w:r>
      <w:r>
        <w:rPr>
          <w:rFonts w:ascii="Cambria" w:hAnsi="Cambria"/>
          <w:b/>
          <w:bCs/>
        </w:rPr>
        <w:t xml:space="preserve">9,1 %</w:t>
      </w:r>
      <w:r>
        <w:rPr>
          <w:rFonts w:ascii="Cambria" w:hAnsi="Cambria"/>
        </w:rPr>
        <w:t xml:space="preserve"> de las exportaciones y el </w:t>
      </w:r>
      <w:r>
        <w:rPr>
          <w:rFonts w:ascii="Cambria" w:hAnsi="Cambria"/>
          <w:b/>
          <w:bCs/>
        </w:rPr>
        <w:t xml:space="preserve">11,4 %</w:t>
      </w:r>
      <w:r>
        <w:rPr>
          <w:rFonts w:ascii="Cambria" w:hAnsi="Cambria"/>
        </w:rPr>
        <w:t xml:space="preserve"> de las importaciones, con déficit comercial estructural. Los subsectores más relevantes son textil-confección y calzado.</w:t>
      </w:r>
    </w:p>
    <w:p>
      <w:pPr>
        <w:pStyle w:val="Ttulo2"/>
        <w:jc w:val="both"/>
        <w:rPr>
          <w:rFonts w:ascii="Cambria" w:hAnsi="Cambria"/>
          <w:b/>
          <w:bCs/>
          <w:color w:val="auto"/>
          <w:sz w:val="24"/>
          <w:szCs w:val="24"/>
        </w:rPr>
      </w:pPr>
      <w:r>
        <w:rPr>
          <w:rFonts w:ascii="Cambria" w:hAnsi="Cambria"/>
          <w:b/>
          <w:bCs/>
          <w:color w:val="auto"/>
          <w:sz w:val="24"/>
          <w:szCs w:val="24"/>
        </w:rPr>
        <w:t xml:space="preserve">1.1. Legislación general del sector industrial</w:t>
      </w:r>
    </w:p>
    <w:p>
      <w:pPr>
        <w:numPr>
          <w:ilvl w:val="0"/>
          <w:numId w:val="1"/>
        </w:numPr>
        <w:jc w:val="both"/>
        <w:rPr>
          <w:rFonts w:ascii="Cambria" w:hAnsi="Cambria"/>
        </w:rPr>
      </w:pPr>
      <w:r>
        <w:rPr>
          <w:rFonts w:ascii="Cambria" w:hAnsi="Cambria"/>
        </w:rPr>
        <w:t xml:space="preserve">Competencia normativa de la </w:t>
      </w:r>
      <w:r>
        <w:rPr>
          <w:rFonts w:ascii="Cambria" w:hAnsi="Cambria"/>
          <w:b/>
          <w:bCs/>
        </w:rPr>
        <w:t xml:space="preserve">Subdirección General de Calidad y Seguridad Industrial</w:t>
      </w:r>
      <w:r>
        <w:rPr>
          <w:rFonts w:ascii="Cambria" w:hAnsi="Cambria"/>
        </w:rPr>
        <w:t xml:space="preserve"> (MINTUR).</w:t>
      </w:r>
    </w:p>
    <w:p>
      <w:pPr>
        <w:numPr>
          <w:ilvl w:val="0"/>
          <w:numId w:val="1"/>
        </w:numPr>
        <w:jc w:val="both"/>
        <w:rPr>
          <w:rFonts w:ascii="Cambria" w:hAnsi="Cambria"/>
        </w:rPr>
      </w:pPr>
      <w:r>
        <w:rPr>
          <w:rFonts w:ascii="Cambria" w:hAnsi="Cambria"/>
          <w:b/>
          <w:bCs/>
        </w:rPr>
        <w:t xml:space="preserve">Ley 21/1992, de Industria</w:t>
      </w:r>
      <w:r>
        <w:rPr>
          <w:rFonts w:ascii="Cambria" w:hAnsi="Cambria"/>
        </w:rPr>
        <w:t xml:space="preserve">: adapta la actividad industrial al Mercado Único europeo.</w:t>
      </w:r>
    </w:p>
    <w:p>
      <w:pPr>
        <w:numPr>
          <w:ilvl w:val="0"/>
          <w:numId w:val="1"/>
        </w:numPr>
        <w:jc w:val="both"/>
        <w:rPr>
          <w:rFonts w:ascii="Cambria" w:hAnsi="Cambria"/>
        </w:rPr>
      </w:pPr>
      <w:r>
        <w:rPr>
          <w:rFonts w:ascii="Cambria" w:hAnsi="Cambria"/>
          <w:b/>
          <w:bCs/>
        </w:rPr>
        <w:t xml:space="preserve">Real Decreto 559/2010</w:t>
      </w:r>
      <w:r>
        <w:rPr>
          <w:rFonts w:ascii="Cambria" w:hAnsi="Cambria"/>
        </w:rPr>
        <w:t xml:space="preserve">: Reglamento del Registro Integrado Industrial.</w:t>
      </w:r>
    </w:p>
    <w:p>
      <w:pPr>
        <w:numPr>
          <w:ilvl w:val="0"/>
          <w:numId w:val="1"/>
        </w:numPr>
        <w:jc w:val="both"/>
        <w:rPr>
          <w:rFonts w:ascii="Cambria" w:hAnsi="Cambria"/>
        </w:rPr>
      </w:pPr>
      <w:r>
        <w:rPr>
          <w:rFonts w:ascii="Cambria" w:hAnsi="Cambria"/>
          <w:b/>
          <w:bCs/>
        </w:rPr>
        <w:t xml:space="preserve">Real Decreto 1072/2015</w:t>
      </w:r>
      <w:r>
        <w:rPr>
          <w:rFonts w:ascii="Cambria" w:hAnsi="Cambria"/>
        </w:rPr>
        <w:t xml:space="preserve">: Reglamento de la Infraestructura para la Calidad y la Seguridad Industrial, reconoce a </w:t>
      </w:r>
      <w:r>
        <w:rPr>
          <w:rFonts w:ascii="Cambria" w:hAnsi="Cambria"/>
          <w:b/>
          <w:bCs/>
        </w:rPr>
        <w:t xml:space="preserve">AENOR</w:t>
      </w:r>
      <w:r>
        <w:rPr>
          <w:rFonts w:ascii="Cambria" w:hAnsi="Cambria"/>
        </w:rPr>
        <w:t xml:space="preserve"> y </w:t>
      </w:r>
      <w:r>
        <w:rPr>
          <w:rFonts w:ascii="Cambria" w:hAnsi="Cambria"/>
          <w:b/>
          <w:bCs/>
        </w:rPr>
        <w:t xml:space="preserve">ENAC</w:t>
      </w:r>
      <w:r>
        <w:rPr>
          <w:rFonts w:ascii="Cambria" w:hAnsi="Cambria"/>
        </w:rPr>
        <w:t xml:space="preserve">.</w:t>
      </w:r>
    </w:p>
    <w:p>
      <w:pPr>
        <w:numPr>
          <w:ilvl w:val="0"/>
          <w:numId w:val="1"/>
        </w:numPr>
        <w:jc w:val="both"/>
        <w:rPr>
          <w:rFonts w:ascii="Cambria" w:hAnsi="Cambria"/>
        </w:rPr>
      </w:pPr>
      <w:r>
        <w:rPr>
          <w:rFonts w:ascii="Cambria" w:hAnsi="Cambria"/>
          <w:b/>
          <w:bCs/>
        </w:rPr>
        <w:t xml:space="preserve">Real Decreto 1468/1988</w:t>
      </w:r>
      <w:r>
        <w:rPr>
          <w:rFonts w:ascii="Cambria" w:hAnsi="Cambria"/>
        </w:rPr>
        <w:t xml:space="preserve">: etiquetado, presentación y publicidad de productos industriales sin normativa específica. Exige denominación, composición, plazo de uso, contenido neto, lote, empresa, origen y alérgenos.</w:t>
      </w:r>
    </w:p>
    <w:p>
      <w:pPr>
        <w:numPr>
          <w:ilvl w:val="0"/>
          <w:numId w:val="1"/>
        </w:numPr>
        <w:jc w:val="both"/>
        <w:rPr>
          <w:rFonts w:ascii="Cambria" w:hAnsi="Cambria"/>
        </w:rPr>
      </w:pPr>
      <w:r>
        <w:rPr>
          <w:rFonts w:ascii="Cambria" w:hAnsi="Cambria"/>
          <w:b/>
          <w:bCs/>
        </w:rPr>
        <w:t xml:space="preserve">Real Decreto 1406/1989</w:t>
      </w:r>
      <w:r>
        <w:rPr>
          <w:rFonts w:ascii="Cambria" w:hAnsi="Cambria"/>
        </w:rPr>
        <w:t xml:space="preserve">: prohíbe sustancias como benceno, amianto, dimetilfumarato, pentaclorofenol y termómetros de mercurio.</w:t>
      </w:r>
    </w:p>
    <w:p>
      <w:pPr>
        <w:numPr>
          <w:ilvl w:val="0"/>
          <w:numId w:val="1"/>
        </w:numPr>
        <w:jc w:val="both"/>
        <w:rPr>
          <w:rFonts w:ascii="Cambria" w:hAnsi="Cambria"/>
        </w:rPr>
      </w:pPr>
      <w:r>
        <w:rPr>
          <w:rFonts w:ascii="Cambria" w:hAnsi="Cambria"/>
          <w:b/>
          <w:bCs/>
        </w:rPr>
        <w:t xml:space="preserve">Real Decreto 330/2008</w:t>
      </w:r>
      <w:r>
        <w:rPr>
          <w:rFonts w:ascii="Cambria" w:hAnsi="Cambria"/>
        </w:rPr>
        <w:t xml:space="preserve">: control de importación por riesgos de seguridad vía </w:t>
      </w:r>
      <w:r>
        <w:rPr>
          <w:rFonts w:ascii="Cambria" w:hAnsi="Cambria"/>
          <w:b/>
          <w:bCs/>
        </w:rPr>
        <w:t xml:space="preserve">RAPEX</w:t>
      </w:r>
      <w:r>
        <w:rPr>
          <w:rFonts w:ascii="Cambria" w:hAnsi="Cambria"/>
        </w:rPr>
        <w:t xml:space="preserve">, con el </w:t>
      </w:r>
      <w:r>
        <w:rPr>
          <w:rFonts w:ascii="Cambria" w:hAnsi="Cambria"/>
          <w:b/>
          <w:bCs/>
        </w:rPr>
        <w:t xml:space="preserve">SOIVRE</w:t>
      </w:r>
      <w:r>
        <w:rPr>
          <w:rFonts w:ascii="Cambria" w:hAnsi="Cambria"/>
        </w:rPr>
        <w:t xml:space="preserve"> como responsable. La </w:t>
      </w:r>
      <w:r>
        <w:rPr>
          <w:rFonts w:ascii="Cambria" w:hAnsi="Cambria"/>
          <w:b/>
          <w:bCs/>
        </w:rPr>
        <w:t xml:space="preserve">Orden PJC/161/2026</w:t>
      </w:r>
      <w:r>
        <w:rPr>
          <w:rFonts w:ascii="Cambria" w:hAnsi="Cambria"/>
        </w:rPr>
        <w:t xml:space="preserve"> fija el listado de productos sujetos (drones, puericultura, textil, calzado, juguetes, EPIs, material eléctrico, muebles). El </w:t>
      </w:r>
      <w:r>
        <w:rPr>
          <w:rFonts w:ascii="Cambria" w:hAnsi="Cambria"/>
          <w:b/>
          <w:bCs/>
        </w:rPr>
        <w:t xml:space="preserve">Real Decreto 993/2022</w:t>
      </w:r>
      <w:r>
        <w:rPr>
          <w:rFonts w:ascii="Cambria" w:hAnsi="Cambria"/>
        </w:rPr>
        <w:t xml:space="preserve"> amplía a AEE y pilas (RoHS).</w:t>
      </w:r>
    </w:p>
    <w:p>
      <w:pPr>
        <w:numPr>
          <w:ilvl w:val="0"/>
          <w:numId w:val="1"/>
        </w:numPr>
        <w:jc w:val="both"/>
        <w:rPr>
          <w:rFonts w:ascii="Cambria" w:hAnsi="Cambria"/>
        </w:rPr>
      </w:pPr>
      <w:r>
        <w:rPr>
          <w:rFonts w:ascii="Cambria" w:hAnsi="Cambria"/>
          <w:b/>
          <w:bCs/>
        </w:rPr>
        <w:t xml:space="preserve">Reglamento (CE) 765/2008</w:t>
      </w:r>
      <w:r>
        <w:rPr>
          <w:rFonts w:ascii="Cambria" w:hAnsi="Cambria"/>
        </w:rPr>
        <w:t xml:space="preserve">: requisitos de acreditación y marcado CE, sustituido en vigilancia de mercado por el </w:t>
      </w:r>
      <w:r>
        <w:rPr>
          <w:rFonts w:ascii="Cambria" w:hAnsi="Cambria"/>
          <w:b/>
          <w:bCs/>
        </w:rPr>
        <w:t xml:space="preserve">Reglamento (UE) 2019/1020</w:t>
      </w:r>
      <w:r>
        <w:rPr>
          <w:rFonts w:ascii="Cambria" w:hAnsi="Cambria"/>
        </w:rPr>
        <w:t xml:space="preserve">.</w:t>
      </w:r>
    </w:p>
    <w:p>
      <w:pPr>
        <w:numPr>
          <w:ilvl w:val="0"/>
          <w:numId w:val="1"/>
        </w:numPr>
        <w:jc w:val="both"/>
        <w:rPr>
          <w:rFonts w:ascii="Cambria" w:hAnsi="Cambria"/>
        </w:rPr>
      </w:pPr>
      <w:r>
        <w:rPr>
          <w:rFonts w:ascii="Cambria" w:hAnsi="Cambria"/>
          <w:b/>
          <w:bCs/>
        </w:rPr>
        <w:t xml:space="preserve">Reglamento (UE) 2019/515</w:t>
      </w:r>
      <w:r>
        <w:rPr>
          <w:rFonts w:ascii="Cambria" w:hAnsi="Cambria"/>
        </w:rPr>
        <w:t xml:space="preserve">: reconocimiento mutuo de mercancías legalmente comercializadas en otro Estado miembro.</w:t>
      </w:r>
    </w:p>
    <w:p>
      <w:pPr>
        <w:numPr>
          <w:ilvl w:val="0"/>
          <w:numId w:val="1"/>
        </w:numPr>
        <w:jc w:val="both"/>
        <w:rPr>
          <w:rFonts w:ascii="Cambria" w:hAnsi="Cambria"/>
        </w:rPr>
      </w:pPr>
      <w:r>
        <w:rPr>
          <w:rFonts w:ascii="Cambria" w:hAnsi="Cambria"/>
          <w:b/>
          <w:bCs/>
        </w:rPr>
        <w:t xml:space="preserve">Decisión 768/2008/CE</w:t>
      </w:r>
      <w:r>
        <w:rPr>
          <w:rFonts w:ascii="Cambria" w:hAnsi="Cambria"/>
        </w:rPr>
        <w:t xml:space="preserve">: marco común de comercialización, base del Nuevo Marco Legislativo.</w:t>
      </w:r>
    </w:p>
    <w:p>
      <w:pPr>
        <w:numPr>
          <w:ilvl w:val="0"/>
          <w:numId w:val="1"/>
        </w:numPr>
        <w:jc w:val="both"/>
        <w:rPr>
          <w:rFonts w:ascii="Cambria" w:hAnsi="Cambria"/>
        </w:rPr>
      </w:pPr>
      <w:r>
        <w:rPr>
          <w:rFonts w:ascii="Cambria" w:hAnsi="Cambria"/>
          <w:b/>
          <w:bCs/>
        </w:rPr>
        <w:t xml:space="preserve">Reglamento (UE) 2023/988 (RGSP)</w:t>
      </w:r>
      <w:r>
        <w:rPr>
          <w:rFonts w:ascii="Cambria" w:hAnsi="Cambria"/>
        </w:rPr>
        <w:t xml:space="preserve">: aplicable directamente desde el </w:t>
      </w:r>
      <w:r>
        <w:rPr>
          <w:rFonts w:ascii="Cambria" w:hAnsi="Cambria"/>
          <w:b/>
          <w:bCs/>
        </w:rPr>
        <w:t xml:space="preserve">13 de diciembre de 2024</w:t>
      </w:r>
      <w:r>
        <w:rPr>
          <w:rFonts w:ascii="Cambria" w:hAnsi="Cambria"/>
        </w:rPr>
        <w:t xml:space="preserve">. Refuerza </w:t>
      </w:r>
      <w:r>
        <w:rPr>
          <w:rFonts w:ascii="Cambria" w:hAnsi="Cambria"/>
          <w:b/>
          <w:bCs/>
        </w:rPr>
        <w:t xml:space="preserve">Safety Gate</w:t>
      </w:r>
      <w:r>
        <w:rPr>
          <w:rFonts w:ascii="Cambria" w:hAnsi="Cambria"/>
        </w:rPr>
        <w:t xml:space="preserve"> y las obligaciones de mercados en línea.</w:t>
      </w:r>
    </w:p>
    <w:p>
      <w:pPr>
        <w:numPr>
          <w:ilvl w:val="0"/>
          <w:numId w:val="1"/>
        </w:numPr>
        <w:jc w:val="both"/>
        <w:rPr>
          <w:rFonts w:ascii="Cambria" w:hAnsi="Cambria"/>
        </w:rPr>
      </w:pPr>
      <w:r>
        <w:rPr>
          <w:rFonts w:ascii="Cambria" w:hAnsi="Cambria"/>
          <w:b/>
          <w:bCs/>
        </w:rPr>
        <w:t xml:space="preserve">Reglamento (CE) 1907/2006 (REACH)</w:t>
      </w:r>
      <w:r>
        <w:rPr>
          <w:rFonts w:ascii="Cambria" w:hAnsi="Cambria"/>
        </w:rPr>
        <w:t xml:space="preserve">: sustancias químicas, restricciones vía Anexo XVII, crea la </w:t>
      </w:r>
      <w:r>
        <w:rPr>
          <w:rFonts w:ascii="Cambria" w:hAnsi="Cambria"/>
          <w:b/>
          <w:bCs/>
        </w:rPr>
        <w:t xml:space="preserve">ECHA</w:t>
      </w:r>
      <w:r>
        <w:rPr>
          <w:rFonts w:ascii="Cambria" w:hAnsi="Cambria"/>
        </w:rPr>
        <w:t xml:space="preserve">.</w:t>
      </w:r>
    </w:p>
    <w:p>
      <w:pPr>
        <w:numPr>
          <w:ilvl w:val="0"/>
          <w:numId w:val="1"/>
        </w:numPr>
        <w:jc w:val="both"/>
        <w:rPr>
          <w:rFonts w:ascii="Cambria" w:hAnsi="Cambria"/>
        </w:rPr>
      </w:pPr>
      <w:r>
        <w:rPr>
          <w:rFonts w:ascii="Cambria" w:hAnsi="Cambria"/>
          <w:b/>
          <w:bCs/>
        </w:rPr>
        <w:t xml:space="preserve">Reglamento (UE) 2023/2411</w:t>
      </w:r>
      <w:r>
        <w:rPr>
          <w:rFonts w:ascii="Cambria" w:hAnsi="Cambria"/>
        </w:rPr>
        <w:t xml:space="preserve">: indicaciones geográficas de productos industriales y artesanales no alimentarios, aplicable desde 2025.</w:t>
      </w:r>
    </w:p>
    <w:p>
      <w:pPr>
        <w:pStyle w:val="Ttulo1"/>
        <w:jc w:val="both"/>
        <w:rPr>
          <w:rFonts w:ascii="Cambria" w:hAnsi="Cambria"/>
          <w:b/>
          <w:bCs/>
          <w:color w:val="auto"/>
          <w:sz w:val="28"/>
          <w:szCs w:val="28"/>
        </w:rPr>
      </w:pPr>
      <w:r>
        <w:rPr>
          <w:rFonts w:ascii="Cambria" w:hAnsi="Cambria"/>
          <w:b/>
          <w:bCs/>
          <w:color w:val="auto"/>
          <w:sz w:val="28"/>
          <w:szCs w:val="28"/>
        </w:rPr>
        <w:t xml:space="preserve">2. SUBSECTOR TEXTIL Y CONFECCIÓN</w:t>
      </w:r>
    </w:p>
    <w:p>
      <w:pPr>
        <w:pStyle w:val="Ttulo2"/>
        <w:jc w:val="both"/>
        <w:rPr>
          <w:rFonts w:ascii="Cambria" w:hAnsi="Cambria"/>
          <w:b/>
          <w:bCs/>
          <w:color w:val="auto"/>
          <w:sz w:val="24"/>
          <w:szCs w:val="24"/>
        </w:rPr>
      </w:pPr>
      <w:r>
        <w:rPr>
          <w:rFonts w:ascii="Cambria" w:hAnsi="Cambria"/>
          <w:b/>
          <w:bCs/>
          <w:color w:val="auto"/>
          <w:sz w:val="24"/>
          <w:szCs w:val="24"/>
        </w:rPr>
        <w:t xml:space="preserve">2.1. Fibras textiles</w:t>
      </w:r>
    </w:p>
    <w:p>
      <w:pPr>
        <w:numPr>
          <w:ilvl w:val="0"/>
          <w:numId w:val="1"/>
        </w:numPr>
        <w:jc w:val="both"/>
        <w:rPr>
          <w:rFonts w:ascii="Cambria" w:hAnsi="Cambria"/>
        </w:rPr>
      </w:pPr>
      <w:r>
        <w:rPr>
          <w:rFonts w:ascii="Cambria" w:hAnsi="Cambria"/>
        </w:rPr>
        <w:t xml:space="preserve">Productos textiles: compuestos exclusivamente por fibras textiles en cualquier fase de elaboración. Propiedades clave: resistencia, elasticidad, hilabilidad.</w:t>
      </w:r>
    </w:p>
    <w:p>
      <w:pPr>
        <w:numPr>
          <w:ilvl w:val="0"/>
          <w:numId w:val="1"/>
        </w:numPr>
        <w:jc w:val="both"/>
        <w:rPr>
          <w:rFonts w:ascii="Cambria" w:hAnsi="Cambria"/>
        </w:rPr>
      </w:pPr>
      <w:r>
        <w:rPr>
          <w:rFonts w:ascii="Cambria" w:hAnsi="Cambria"/>
        </w:rPr>
        <w:t xml:space="preserve">Defectos de calidad: pilling, electricidad estática, brillo, elasticidad, absorción.</w:t>
      </w:r>
    </w:p>
    <w:p>
      <w:pPr>
        <w:numPr>
          <w:ilvl w:val="0"/>
          <w:numId w:val="1"/>
        </w:numPr>
        <w:jc w:val="both"/>
        <w:rPr>
          <w:rFonts w:ascii="Cambria" w:hAnsi="Cambria"/>
        </w:rPr>
      </w:pPr>
      <w:r>
        <w:rPr>
          <w:rFonts w:ascii="Cambria" w:hAnsi="Cambria"/>
          <w:b/>
          <w:bCs/>
        </w:rPr>
        <w:t xml:space="preserve">Naturales</w:t>
      </w:r>
      <w:r>
        <w:rPr>
          <w:rFonts w:ascii="Cambria" w:hAnsi="Cambria"/>
        </w:rPr>
        <w:t xml:space="preserve">: algodón (CO, vegetal, más empleada mundialmente), lana (WO, animal, aislante térmico), amianto (mineral, prohibido, desmantelamiento regulado por la </w:t>
      </w:r>
      <w:r>
        <w:rPr>
          <w:rFonts w:ascii="Cambria" w:hAnsi="Cambria"/>
          <w:b/>
          <w:bCs/>
        </w:rPr>
        <w:t xml:space="preserve">Directiva 2009/148/CE</w:t>
      </w:r>
      <w:r>
        <w:rPr>
          <w:rFonts w:ascii="Cambria" w:hAnsi="Cambria"/>
        </w:rPr>
        <w:t xml:space="preserve">).</w:t>
      </w:r>
    </w:p>
    <w:p>
      <w:pPr>
        <w:numPr>
          <w:ilvl w:val="0"/>
          <w:numId w:val="1"/>
        </w:numPr>
        <w:jc w:val="both"/>
        <w:rPr>
          <w:rFonts w:ascii="Cambria" w:hAnsi="Cambria"/>
        </w:rPr>
      </w:pPr>
      <w:r>
        <w:rPr>
          <w:rFonts w:ascii="Cambria" w:hAnsi="Cambria"/>
          <w:b/>
          <w:bCs/>
        </w:rPr>
        <w:t xml:space="preserve">Químicas artificiales</w:t>
      </w:r>
      <w:r>
        <w:rPr>
          <w:rFonts w:ascii="Cambria" w:hAnsi="Cambria"/>
        </w:rPr>
        <w:t xml:space="preserve">: viscosa/rayón (CV), fibra modal (CMD), lyocell, acetato/triacetato (CA/CTA), a partir de celulosa.</w:t>
      </w:r>
    </w:p>
    <w:p>
      <w:pPr>
        <w:numPr>
          <w:ilvl w:val="0"/>
          <w:numId w:val="1"/>
        </w:numPr>
        <w:jc w:val="both"/>
        <w:rPr>
          <w:rFonts w:ascii="Cambria" w:hAnsi="Cambria"/>
        </w:rPr>
      </w:pPr>
      <w:r>
        <w:rPr>
          <w:rFonts w:ascii="Cambria" w:hAnsi="Cambria"/>
          <w:b/>
          <w:bCs/>
        </w:rPr>
        <w:t xml:space="preserve">Químicas sintéticas</w:t>
      </w:r>
      <w:r>
        <w:rPr>
          <w:rFonts w:ascii="Cambria" w:hAnsi="Cambria"/>
        </w:rPr>
        <w:t xml:space="preserve">: poliéster (PES), poliamida/nylon (PA), aramidas (Kevlar, Nomex, resistentes al calor y fuego), acrílicas (PAN), elastano/Lycra (EL).</w:t>
      </w:r>
    </w:p>
    <w:p>
      <w:pPr>
        <w:numPr>
          <w:ilvl w:val="0"/>
          <w:numId w:val="1"/>
        </w:numPr>
        <w:jc w:val="both"/>
        <w:rPr>
          <w:rFonts w:ascii="Cambria" w:hAnsi="Cambria"/>
        </w:rPr>
      </w:pPr>
      <w:r>
        <w:rPr>
          <w:rFonts w:ascii="Cambria" w:hAnsi="Cambria"/>
        </w:rPr>
        <w:t xml:space="preserve">Procesos: hilatura, tejedura de calada, tejedura de punto y telas no tejidas.</w:t>
      </w:r>
    </w:p>
    <w:p>
      <w:pPr>
        <w:pStyle w:val="Ttulo2"/>
        <w:jc w:val="both"/>
        <w:rPr>
          <w:rFonts w:ascii="Cambria" w:hAnsi="Cambria"/>
          <w:b/>
          <w:bCs/>
          <w:color w:val="auto"/>
          <w:sz w:val="24"/>
          <w:szCs w:val="24"/>
        </w:rPr>
      </w:pPr>
      <w:r>
        <w:rPr>
          <w:rFonts w:ascii="Cambria" w:hAnsi="Cambria"/>
          <w:b/>
          <w:bCs/>
          <w:color w:val="auto"/>
          <w:sz w:val="24"/>
          <w:szCs w:val="24"/>
        </w:rPr>
        <w:t xml:space="preserve">2.2. Análisis sectorial</w:t>
      </w:r>
    </w:p>
    <w:p>
      <w:pPr>
        <w:numPr>
          <w:ilvl w:val="0"/>
          <w:numId w:val="1"/>
        </w:numPr>
        <w:jc w:val="both"/>
        <w:rPr>
          <w:rFonts w:ascii="Cambria" w:hAnsi="Cambria"/>
        </w:rPr>
      </w:pPr>
      <w:r>
        <w:rPr>
          <w:rFonts w:ascii="Cambria" w:hAnsi="Cambria"/>
        </w:rPr>
        <w:t xml:space="preserve">Representa el </w:t>
      </w:r>
      <w:r>
        <w:rPr>
          <w:rFonts w:ascii="Cambria" w:hAnsi="Cambria"/>
          <w:b/>
          <w:bCs/>
        </w:rPr>
        <w:t xml:space="preserve">0,9 %</w:t>
      </w:r>
      <w:r>
        <w:rPr>
          <w:rFonts w:ascii="Cambria" w:hAnsi="Cambria"/>
        </w:rPr>
        <w:t xml:space="preserve"> de la producción, </w:t>
      </w:r>
      <w:r>
        <w:rPr>
          <w:rFonts w:ascii="Cambria" w:hAnsi="Cambria"/>
          <w:b/>
          <w:bCs/>
        </w:rPr>
        <w:t xml:space="preserve">1,0 %</w:t>
      </w:r>
      <w:r>
        <w:rPr>
          <w:rFonts w:ascii="Cambria" w:hAnsi="Cambria"/>
        </w:rPr>
        <w:t xml:space="preserve"> del VAB industrial y </w:t>
      </w:r>
      <w:r>
        <w:rPr>
          <w:rFonts w:ascii="Cambria" w:hAnsi="Cambria"/>
          <w:b/>
          <w:bCs/>
        </w:rPr>
        <w:t xml:space="preserve">1,9 %</w:t>
      </w:r>
      <w:r>
        <w:rPr>
          <w:rFonts w:ascii="Cambria" w:hAnsi="Cambria"/>
        </w:rPr>
        <w:t xml:space="preserve"> del empleo industrial (INE). España es 4º productor europeo tras Italia, Francia y Alemania.</w:t>
      </w:r>
    </w:p>
    <w:p>
      <w:pPr>
        <w:numPr>
          <w:ilvl w:val="0"/>
          <w:numId w:val="1"/>
        </w:numPr>
        <w:jc w:val="both"/>
        <w:rPr>
          <w:rFonts w:ascii="Cambria" w:hAnsi="Cambria"/>
        </w:rPr>
      </w:pPr>
      <w:r>
        <w:rPr>
          <w:rFonts w:ascii="Cambria" w:hAnsi="Cambria"/>
        </w:rPr>
        <w:t xml:space="preserve">Concentración en </w:t>
      </w:r>
      <w:r>
        <w:rPr>
          <w:rFonts w:ascii="Cambria" w:hAnsi="Cambria"/>
          <w:b/>
          <w:bCs/>
        </w:rPr>
        <w:t xml:space="preserve">Comunidad Valenciana</w:t>
      </w:r>
      <w:r>
        <w:rPr>
          <w:rFonts w:ascii="Cambria" w:hAnsi="Cambria"/>
        </w:rPr>
        <w:t xml:space="preserve"> y </w:t>
      </w:r>
      <w:r>
        <w:rPr>
          <w:rFonts w:ascii="Cambria" w:hAnsi="Cambria"/>
          <w:b/>
          <w:bCs/>
        </w:rPr>
        <w:t xml:space="preserve">Cataluña</w:t>
      </w:r>
      <w:r>
        <w:rPr>
          <w:rFonts w:ascii="Cambria" w:hAnsi="Cambria"/>
        </w:rPr>
        <w:t xml:space="preserve"> (hilados y tejidos). Confección dispersa.</w:t>
      </w:r>
    </w:p>
    <w:p>
      <w:pPr>
        <w:numPr>
          <w:ilvl w:val="0"/>
          <w:numId w:val="1"/>
        </w:numPr>
        <w:jc w:val="both"/>
        <w:rPr>
          <w:rFonts w:ascii="Cambria" w:hAnsi="Cambria"/>
        </w:rPr>
      </w:pPr>
      <w:r>
        <w:rPr>
          <w:rFonts w:ascii="Cambria" w:hAnsi="Cambria"/>
        </w:rPr>
        <w:t xml:space="preserve">Exportaciones superiores a </w:t>
      </w:r>
      <w:r>
        <w:rPr>
          <w:rFonts w:ascii="Cambria" w:hAnsi="Cambria"/>
          <w:b/>
          <w:bCs/>
        </w:rPr>
        <w:t xml:space="preserve">19.400 M€</w:t>
      </w:r>
      <w:r>
        <w:rPr>
          <w:rFonts w:ascii="Cambria" w:hAnsi="Cambria"/>
        </w:rPr>
        <w:t xml:space="preserve">, principalmente a la UE (Francia, Italia, Portugal, Polonia, Alemania) y terceros países (Marruecos, Turquía). Importaciones desde China, Bangladesh, Turquía, Marruecos, Camboya e Italia, con déficit estructural.</w:t>
      </w:r>
    </w:p>
    <w:p>
      <w:pPr>
        <w:numPr>
          <w:ilvl w:val="0"/>
          <w:numId w:val="1"/>
        </w:numPr>
        <w:jc w:val="both"/>
        <w:rPr>
          <w:rFonts w:ascii="Cambria" w:hAnsi="Cambria"/>
        </w:rPr>
      </w:pPr>
      <w:r>
        <w:rPr>
          <w:rFonts w:ascii="Cambria" w:hAnsi="Cambria"/>
        </w:rPr>
        <w:t xml:space="preserve">Relevancia del </w:t>
      </w:r>
      <w:r>
        <w:rPr>
          <w:rFonts w:ascii="Cambria" w:hAnsi="Cambria"/>
          <w:b/>
          <w:bCs/>
        </w:rPr>
        <w:t xml:space="preserve">régimen de perfeccionamiento pasivo</w:t>
      </w:r>
      <w:r>
        <w:rPr>
          <w:rFonts w:ascii="Cambria" w:hAnsi="Cambria"/>
        </w:rPr>
        <w:t xml:space="preserve"> con Turquía y Marruecos.</w:t>
      </w:r>
    </w:p>
    <w:p>
      <w:pPr>
        <w:numPr>
          <w:ilvl w:val="0"/>
          <w:numId w:val="1"/>
        </w:numPr>
        <w:jc w:val="both"/>
        <w:rPr>
          <w:rFonts w:ascii="Cambria" w:hAnsi="Cambria"/>
        </w:rPr>
      </w:pPr>
      <w:r>
        <w:rPr>
          <w:rFonts w:ascii="Cambria" w:hAnsi="Cambria"/>
          <w:b/>
          <w:bCs/>
        </w:rPr>
        <w:t xml:space="preserve">Reglamento (UE) 2024/1781 (ESPR)</w:t>
      </w:r>
      <w:r>
        <w:rPr>
          <w:rFonts w:ascii="Cambria" w:hAnsi="Cambria"/>
        </w:rPr>
        <w:t xml:space="preserve"> y </w:t>
      </w:r>
      <w:r>
        <w:rPr>
          <w:rFonts w:ascii="Cambria" w:hAnsi="Cambria"/>
          <w:b/>
          <w:bCs/>
        </w:rPr>
        <w:t xml:space="preserve">Estrategia UE para Textiles Sostenibles y Circulares (2022)</w:t>
      </w:r>
      <w:r>
        <w:rPr>
          <w:rFonts w:ascii="Cambria" w:hAnsi="Cambria"/>
        </w:rPr>
        <w:t xml:space="preserve">: objetivo de productos duraderos, reparables y reciclables en 2030.</w:t>
      </w:r>
    </w:p>
    <w:p>
      <w:pPr>
        <w:numPr>
          <w:ilvl w:val="0"/>
          <w:numId w:val="1"/>
        </w:numPr>
        <w:jc w:val="both"/>
        <w:rPr>
          <w:rFonts w:ascii="Cambria" w:hAnsi="Cambria"/>
        </w:rPr>
      </w:pPr>
      <w:r>
        <w:rPr>
          <w:rFonts w:ascii="Cambria" w:hAnsi="Cambria"/>
        </w:rPr>
        <w:t xml:space="preserve">El </w:t>
      </w:r>
      <w:r>
        <w:rPr>
          <w:rFonts w:ascii="Cambria" w:hAnsi="Cambria"/>
          <w:b/>
          <w:bCs/>
        </w:rPr>
        <w:t xml:space="preserve">ICEX</w:t>
      </w:r>
      <w:r>
        <w:rPr>
          <w:rFonts w:ascii="Cambria" w:hAnsi="Cambria"/>
        </w:rPr>
        <w:t xml:space="preserve"> promueve el sector mediante la Spain Fashion Exhibition en Asia.</w:t>
      </w:r>
    </w:p>
    <w:p>
      <w:pPr>
        <w:pStyle w:val="Ttulo2"/>
        <w:jc w:val="both"/>
        <w:rPr>
          <w:rFonts w:ascii="Cambria" w:hAnsi="Cambria"/>
          <w:b/>
          <w:bCs/>
          <w:color w:val="auto"/>
          <w:sz w:val="24"/>
          <w:szCs w:val="24"/>
        </w:rPr>
      </w:pPr>
      <w:r>
        <w:rPr>
          <w:rFonts w:ascii="Cambria" w:hAnsi="Cambria"/>
          <w:b/>
          <w:bCs/>
          <w:color w:val="auto"/>
          <w:sz w:val="24"/>
          <w:szCs w:val="24"/>
        </w:rPr>
        <w:t xml:space="preserve">2.3. Normativa e inspección</w:t>
      </w:r>
    </w:p>
    <w:p>
      <w:pPr>
        <w:numPr>
          <w:ilvl w:val="0"/>
          <w:numId w:val="1"/>
        </w:numPr>
        <w:jc w:val="both"/>
        <w:rPr>
          <w:rFonts w:ascii="Cambria" w:hAnsi="Cambria"/>
        </w:rPr>
      </w:pPr>
      <w:r>
        <w:rPr>
          <w:rFonts w:ascii="Cambria" w:hAnsi="Cambria"/>
          <w:b/>
          <w:bCs/>
        </w:rPr>
        <w:t xml:space="preserve">Reglamento (UE) 1007/2011</w:t>
      </w:r>
      <w:r>
        <w:rPr>
          <w:rFonts w:ascii="Cambria" w:hAnsi="Cambria"/>
        </w:rPr>
        <w:t xml:space="preserve">: denominaciones y etiquetado de composición de fibras textiles, base de la inspección fronteriza.</w:t>
      </w:r>
    </w:p>
    <w:p>
      <w:pPr>
        <w:numPr>
          <w:ilvl w:val="0"/>
          <w:numId w:val="1"/>
        </w:numPr>
        <w:jc w:val="both"/>
        <w:rPr>
          <w:rFonts w:ascii="Cambria" w:hAnsi="Cambria"/>
        </w:rPr>
      </w:pPr>
      <w:r>
        <w:rPr>
          <w:rFonts w:ascii="Cambria" w:hAnsi="Cambria"/>
          <w:b/>
          <w:bCs/>
        </w:rPr>
        <w:t xml:space="preserve">Real Decreto 928/1987</w:t>
      </w:r>
      <w:r>
        <w:rPr>
          <w:rFonts w:ascii="Cambria" w:hAnsi="Cambria"/>
        </w:rPr>
        <w:t xml:space="preserve">: etiquetado de composición. La falta de NIF del importador no es No Conformidad, sino Comunicación Informativa.</w:t>
      </w:r>
    </w:p>
    <w:p>
      <w:pPr>
        <w:numPr>
          <w:ilvl w:val="0"/>
          <w:numId w:val="1"/>
        </w:numPr>
        <w:jc w:val="both"/>
        <w:rPr>
          <w:rFonts w:ascii="Cambria" w:hAnsi="Cambria"/>
        </w:rPr>
      </w:pPr>
      <w:r>
        <w:rPr>
          <w:rFonts w:ascii="Cambria" w:hAnsi="Cambria"/>
          <w:b/>
          <w:bCs/>
        </w:rPr>
        <w:t xml:space="preserve">Reglamento (UE) 2023/988 (RGSP)</w:t>
      </w:r>
      <w:r>
        <w:rPr>
          <w:rFonts w:ascii="Cambria" w:hAnsi="Cambria"/>
        </w:rPr>
        <w:t xml:space="preserve"> y </w:t>
      </w:r>
      <w:r>
        <w:rPr>
          <w:rFonts w:ascii="Cambria" w:hAnsi="Cambria"/>
          <w:b/>
          <w:bCs/>
        </w:rPr>
        <w:t xml:space="preserve">Directiva (UE) 2024/1799</w:t>
      </w:r>
      <w:r>
        <w:rPr>
          <w:rFonts w:ascii="Cambria" w:hAnsi="Cambria"/>
        </w:rPr>
        <w:t xml:space="preserve"> (derecho a la reparación) refuerzan trazabilidad y reparabilidad.</w:t>
      </w:r>
    </w:p>
    <w:p>
      <w:pPr>
        <w:numPr>
          <w:ilvl w:val="0"/>
          <w:numId w:val="1"/>
        </w:numPr>
        <w:jc w:val="both"/>
        <w:rPr>
          <w:rFonts w:ascii="Cambria" w:hAnsi="Cambria"/>
        </w:rPr>
      </w:pPr>
      <w:r>
        <w:rPr>
          <w:rFonts w:ascii="Cambria" w:hAnsi="Cambria"/>
          <w:b/>
          <w:bCs/>
        </w:rPr>
        <w:t xml:space="preserve">Directiva 2010/75/UE (IED)</w:t>
      </w:r>
      <w:r>
        <w:rPr>
          <w:rFonts w:ascii="Cambria" w:hAnsi="Cambria"/>
        </w:rPr>
        <w:t xml:space="preserve"> y normativa de biocidas: restringen compuestos de estaño y metales pesados.</w:t>
      </w:r>
    </w:p>
    <w:p>
      <w:pPr>
        <w:numPr>
          <w:ilvl w:val="0"/>
          <w:numId w:val="1"/>
        </w:numPr>
        <w:jc w:val="both"/>
        <w:rPr>
          <w:rFonts w:ascii="Cambria" w:hAnsi="Cambria"/>
        </w:rPr>
      </w:pPr>
      <w:r>
        <w:rPr>
          <w:rFonts w:ascii="Cambria" w:hAnsi="Cambria"/>
        </w:rPr>
        <w:t xml:space="preserve">Normas armonizadas SOIVRE: </w:t>
      </w:r>
      <w:r>
        <w:rPr>
          <w:rFonts w:ascii="Cambria" w:hAnsi="Cambria"/>
          <w:b/>
          <w:bCs/>
        </w:rPr>
        <w:t xml:space="preserve">UNE-EN 14682:2015</w:t>
      </w:r>
      <w:r>
        <w:rPr>
          <w:rFonts w:ascii="Cambria" w:hAnsi="Cambria"/>
        </w:rPr>
        <w:t xml:space="preserve"> (cordones en ropa infantil) y </w:t>
      </w:r>
      <w:r>
        <w:rPr>
          <w:rFonts w:ascii="Cambria" w:hAnsi="Cambria"/>
          <w:b/>
          <w:bCs/>
        </w:rPr>
        <w:t xml:space="preserve">UNE 40902:2020</w:t>
      </w:r>
      <w:r>
        <w:rPr>
          <w:rFonts w:ascii="Cambria" w:hAnsi="Cambria"/>
        </w:rPr>
        <w:t xml:space="preserve"> (prendas de bebé).</w:t>
      </w:r>
    </w:p>
    <w:p>
      <w:pPr>
        <w:numPr>
          <w:ilvl w:val="0"/>
          <w:numId w:val="1"/>
        </w:numPr>
        <w:jc w:val="both"/>
        <w:rPr>
          <w:rFonts w:ascii="Cambria" w:hAnsi="Cambria"/>
        </w:rPr>
      </w:pPr>
      <w:r>
        <w:rPr>
          <w:rFonts w:ascii="Cambria" w:hAnsi="Cambria"/>
        </w:rPr>
        <w:t xml:space="preserve">Procedimiento SOIVRE: verificar si es EPI (Reglamento (UE) 2016/425). Si no lo es, verificar etiquetado con identificación del importador, cuya ausencia es No Conformidad Subsanable. Composición y NIF son exigibles para la puesta en el mercado, no en el despacho. Etiquetado en castellano, duradero y no engañoso (art. 18.1 TRLGDCU). Las prendas textiles no llevan marcado CE.</w:t>
      </w:r>
    </w:p>
    <w:p>
      <w:pPr>
        <w:numPr>
          <w:ilvl w:val="0"/>
          <w:numId w:val="1"/>
        </w:numPr>
        <w:jc w:val="both"/>
        <w:rPr>
          <w:rFonts w:ascii="Cambria" w:hAnsi="Cambria"/>
        </w:rPr>
      </w:pPr>
      <w:r>
        <w:rPr>
          <w:rFonts w:ascii="Cambria" w:hAnsi="Cambria"/>
        </w:rPr>
        <w:t xml:space="preserve">Ensayos: biocidas DMF (</w:t>
      </w:r>
      <w:r>
        <w:rPr>
          <w:rFonts w:ascii="Cambria" w:hAnsi="Cambria"/>
          <w:b/>
          <w:bCs/>
        </w:rPr>
        <w:t xml:space="preserve">Decisión 2011/135/UE</w:t>
      </w:r>
      <w:r>
        <w:rPr>
          <w:rFonts w:ascii="Cambria" w:hAnsi="Cambria"/>
        </w:rPr>
        <w:t xml:space="preserve">, REACH), colorantes azóicos (</w:t>
      </w:r>
      <w:r>
        <w:rPr>
          <w:rFonts w:ascii="Cambria" w:hAnsi="Cambria"/>
          <w:b/>
          <w:bCs/>
        </w:rPr>
        <w:t xml:space="preserve">Orden PRE/730/2003</w:t>
      </w:r>
      <w:r>
        <w:rPr>
          <w:rFonts w:ascii="Cambria" w:hAnsi="Cambria"/>
        </w:rPr>
        <w:t xml:space="preserve">), pentaclorofenol (</w:t>
      </w:r>
      <w:r>
        <w:rPr>
          <w:rFonts w:ascii="Cambria" w:hAnsi="Cambria"/>
          <w:b/>
          <w:bCs/>
        </w:rPr>
        <w:t xml:space="preserve">Orden de 24 de marzo de 2000</w:t>
      </w:r>
      <w:r>
        <w:rPr>
          <w:rFonts w:ascii="Cambria" w:hAnsi="Cambria"/>
        </w:rPr>
        <w:t xml:space="preserve">), formaldehído y metales pesados (REACH), ftalatos (</w:t>
      </w:r>
      <w:r>
        <w:rPr>
          <w:rFonts w:ascii="Cambria" w:hAnsi="Cambria"/>
          <w:b/>
          <w:bCs/>
        </w:rPr>
        <w:t xml:space="preserve">Real Decreto 1114/2006</w:t>
      </w:r>
      <w:r>
        <w:rPr>
          <w:rFonts w:ascii="Cambria" w:hAnsi="Cambria"/>
        </w:rPr>
        <w:t xml:space="preserve">), pH en cuero (</w:t>
      </w:r>
      <w:r>
        <w:rPr>
          <w:rFonts w:ascii="Cambria" w:hAnsi="Cambria"/>
          <w:b/>
          <w:bCs/>
        </w:rPr>
        <w:t xml:space="preserve">UNE-EN ISO 4045:2019</w:t>
      </w:r>
      <w:r>
        <w:rPr>
          <w:rFonts w:ascii="Cambria" w:hAnsi="Cambria"/>
        </w:rPr>
        <w:t xml:space="preserve">).</w:t>
      </w:r>
    </w:p>
    <w:p>
      <w:pPr>
        <w:pStyle w:val="Ttulo1"/>
        <w:jc w:val="both"/>
        <w:rPr>
          <w:rFonts w:ascii="Cambria" w:hAnsi="Cambria"/>
          <w:b/>
          <w:bCs/>
          <w:color w:val="auto"/>
          <w:sz w:val="28"/>
          <w:szCs w:val="28"/>
        </w:rPr>
      </w:pPr>
      <w:r>
        <w:rPr>
          <w:rFonts w:ascii="Cambria" w:hAnsi="Cambria"/>
          <w:b/>
          <w:bCs/>
          <w:color w:val="auto"/>
          <w:sz w:val="28"/>
          <w:szCs w:val="28"/>
        </w:rPr>
        <w:t xml:space="preserve">3. SUBSECTOR DEL CALZADO</w:t>
      </w:r>
    </w:p>
    <w:p>
      <w:pPr>
        <w:pStyle w:val="Ttulo2"/>
        <w:jc w:val="both"/>
        <w:rPr>
          <w:rFonts w:ascii="Cambria" w:hAnsi="Cambria"/>
          <w:b/>
          <w:bCs/>
          <w:color w:val="auto"/>
          <w:sz w:val="24"/>
          <w:szCs w:val="24"/>
        </w:rPr>
      </w:pPr>
      <w:r>
        <w:rPr>
          <w:rFonts w:ascii="Cambria" w:hAnsi="Cambria"/>
          <w:b/>
          <w:bCs/>
          <w:color w:val="auto"/>
          <w:sz w:val="24"/>
          <w:szCs w:val="24"/>
        </w:rPr>
        <w:t xml:space="preserve">3.1. Descripción y análisis sectorial</w:t>
      </w:r>
    </w:p>
    <w:p>
      <w:pPr>
        <w:numPr>
          <w:ilvl w:val="0"/>
          <w:numId w:val="1"/>
        </w:numPr>
        <w:jc w:val="both"/>
        <w:rPr>
          <w:rFonts w:ascii="Cambria" w:hAnsi="Cambria"/>
        </w:rPr>
      </w:pPr>
      <w:r>
        <w:rPr>
          <w:rFonts w:ascii="Cambria" w:hAnsi="Cambria"/>
          <w:b/>
          <w:bCs/>
        </w:rPr>
        <w:t xml:space="preserve">Real Decreto 1718/1995</w:t>
      </w:r>
      <w:r>
        <w:rPr>
          <w:rFonts w:ascii="Cambria" w:hAnsi="Cambria"/>
        </w:rPr>
        <w:t xml:space="preserve">: define calzado como producto con suela para proteger los pies, incluyendo suela, empeine, forro y plantilla por separado.</w:t>
      </w:r>
    </w:p>
    <w:p>
      <w:pPr>
        <w:numPr>
          <w:ilvl w:val="0"/>
          <w:numId w:val="1"/>
        </w:numPr>
        <w:jc w:val="both"/>
        <w:rPr>
          <w:rFonts w:ascii="Cambria" w:hAnsi="Cambria"/>
        </w:rPr>
      </w:pPr>
      <w:r>
        <w:rPr>
          <w:rFonts w:ascii="Cambria" w:hAnsi="Cambria"/>
        </w:rPr>
        <w:t xml:space="preserve">Clasificación: calzado de piel (señora, caballero, niño) y no de piel (caucho/plástico, textil, madera, EPI). También por uso (deportivo, vestir) y gama.</w:t>
      </w:r>
    </w:p>
    <w:p>
      <w:pPr>
        <w:numPr>
          <w:ilvl w:val="0"/>
          <w:numId w:val="1"/>
        </w:numPr>
        <w:jc w:val="both"/>
        <w:rPr>
          <w:rFonts w:ascii="Cambria" w:hAnsi="Cambria"/>
        </w:rPr>
      </w:pPr>
      <w:r>
        <w:rPr>
          <w:rFonts w:ascii="Cambria" w:hAnsi="Cambria"/>
        </w:rPr>
        <w:t xml:space="preserve">Pymes con media de </w:t>
      </w:r>
      <w:r>
        <w:rPr>
          <w:rFonts w:ascii="Cambria" w:hAnsi="Cambria"/>
          <w:b/>
          <w:bCs/>
        </w:rPr>
        <w:t xml:space="preserve">20 trabajadores</w:t>
      </w:r>
      <w:r>
        <w:rPr>
          <w:rFonts w:ascii="Cambria" w:hAnsi="Cambria"/>
        </w:rPr>
        <w:t xml:space="preserve">, concentradas dos terceras partes en </w:t>
      </w:r>
      <w:r>
        <w:rPr>
          <w:rFonts w:ascii="Cambria" w:hAnsi="Cambria"/>
          <w:b/>
          <w:bCs/>
        </w:rPr>
        <w:t xml:space="preserve">Comunidad Valenciana</w:t>
      </w:r>
      <w:r>
        <w:rPr>
          <w:rFonts w:ascii="Cambria" w:hAnsi="Cambria"/>
        </w:rPr>
        <w:t xml:space="preserve"> (Alicante), seguida de Castilla-La Mancha (Albacete).</w:t>
      </w:r>
    </w:p>
    <w:p>
      <w:pPr>
        <w:numPr>
          <w:ilvl w:val="0"/>
          <w:numId w:val="1"/>
        </w:numPr>
        <w:jc w:val="both"/>
        <w:rPr>
          <w:rFonts w:ascii="Cambria" w:hAnsi="Cambria"/>
        </w:rPr>
      </w:pPr>
      <w:r>
        <w:rPr>
          <w:rFonts w:ascii="Cambria" w:hAnsi="Cambria"/>
        </w:rPr>
        <w:t xml:space="preserve">Competencia asiática tras la entrada de China en la OMC (2001). El sector español se orienta a gama media-alta (ej. PIKOLINOS, etiqueta ecológica comunitaria).</w:t>
      </w:r>
    </w:p>
    <w:p>
      <w:pPr>
        <w:numPr>
          <w:ilvl w:val="0"/>
          <w:numId w:val="1"/>
        </w:numPr>
        <w:jc w:val="both"/>
        <w:rPr>
          <w:rFonts w:ascii="Cambria" w:hAnsi="Cambria"/>
        </w:rPr>
      </w:pPr>
      <w:r>
        <w:rPr>
          <w:rFonts w:ascii="Cambria" w:hAnsi="Cambria"/>
        </w:rPr>
        <w:t xml:space="preserve">Exportaciones superiores a </w:t>
      </w:r>
      <w:r>
        <w:rPr>
          <w:rFonts w:ascii="Cambria" w:hAnsi="Cambria"/>
          <w:b/>
          <w:bCs/>
        </w:rPr>
        <w:t xml:space="preserve">3.600 M€</w:t>
      </w:r>
      <w:r>
        <w:rPr>
          <w:rFonts w:ascii="Cambria" w:hAnsi="Cambria"/>
        </w:rPr>
        <w:t xml:space="preserve"> (UE, EEUU, Reino Unido), destacando calzado de piel de señora. Importaciones superiores a </w:t>
      </w:r>
      <w:r>
        <w:rPr>
          <w:rFonts w:ascii="Cambria" w:hAnsi="Cambria"/>
          <w:b/>
          <w:bCs/>
        </w:rPr>
        <w:t xml:space="preserve">5.300 M€</w:t>
      </w:r>
      <w:r>
        <w:rPr>
          <w:rFonts w:ascii="Cambria" w:hAnsi="Cambria"/>
        </w:rPr>
        <w:t xml:space="preserve">, dominadas por China, Vietnam e Italia (competidor en piel de señora). Saldo deficitario. ICEX apoya con "Shoes from Spain".</w:t>
      </w:r>
    </w:p>
    <w:p>
      <w:pPr>
        <w:pStyle w:val="Ttulo2"/>
        <w:jc w:val="both"/>
        <w:rPr>
          <w:rFonts w:ascii="Cambria" w:hAnsi="Cambria"/>
          <w:b/>
          <w:bCs/>
          <w:color w:val="auto"/>
          <w:sz w:val="24"/>
          <w:szCs w:val="24"/>
        </w:rPr>
      </w:pPr>
      <w:r>
        <w:rPr>
          <w:rFonts w:ascii="Cambria" w:hAnsi="Cambria"/>
          <w:b/>
          <w:bCs/>
          <w:color w:val="auto"/>
          <w:sz w:val="24"/>
          <w:szCs w:val="24"/>
        </w:rPr>
        <w:t xml:space="preserve">3.2. Normativa e inspección</w:t>
      </w:r>
    </w:p>
    <w:p>
      <w:pPr>
        <w:numPr>
          <w:ilvl w:val="0"/>
          <w:numId w:val="1"/>
        </w:numPr>
        <w:jc w:val="both"/>
        <w:rPr>
          <w:rFonts w:ascii="Cambria" w:hAnsi="Cambria"/>
        </w:rPr>
      </w:pPr>
      <w:r>
        <w:rPr>
          <w:rFonts w:ascii="Cambria" w:hAnsi="Cambria"/>
          <w:b/>
          <w:bCs/>
        </w:rPr>
        <w:t xml:space="preserve">Real Decreto 1718/1995</w:t>
      </w:r>
      <w:r>
        <w:rPr>
          <w:rFonts w:ascii="Cambria" w:hAnsi="Cambria"/>
        </w:rPr>
        <w:t xml:space="preserve">: etiquetado de materiales del calzado, no obligatorio a la importación.</w:t>
      </w:r>
    </w:p>
    <w:p>
      <w:pPr>
        <w:numPr>
          <w:ilvl w:val="0"/>
          <w:numId w:val="1"/>
        </w:numPr>
        <w:jc w:val="both"/>
        <w:rPr>
          <w:rFonts w:ascii="Cambria" w:hAnsi="Cambria"/>
        </w:rPr>
      </w:pPr>
      <w:r>
        <w:rPr>
          <w:rFonts w:ascii="Cambria" w:hAnsi="Cambria"/>
          <w:b/>
          <w:bCs/>
        </w:rPr>
        <w:t xml:space="preserve">Decisión (UE) 2016/1349</w:t>
      </w:r>
      <w:r>
        <w:rPr>
          <w:rFonts w:ascii="Cambria" w:hAnsi="Cambria"/>
        </w:rPr>
        <w:t xml:space="preserve">: etiqueta ecológica comunitaria para calzado.</w:t>
      </w:r>
    </w:p>
    <w:p>
      <w:pPr>
        <w:numPr>
          <w:ilvl w:val="0"/>
          <w:numId w:val="1"/>
        </w:numPr>
        <w:jc w:val="both"/>
        <w:rPr>
          <w:rFonts w:ascii="Cambria" w:hAnsi="Cambria"/>
        </w:rPr>
      </w:pPr>
      <w:r>
        <w:rPr>
          <w:rFonts w:ascii="Cambria" w:hAnsi="Cambria"/>
          <w:b/>
          <w:bCs/>
        </w:rPr>
        <w:t xml:space="preserve">Reglamento (UE) 2018/1513</w:t>
      </w:r>
      <w:r>
        <w:rPr>
          <w:rFonts w:ascii="Cambria" w:hAnsi="Cambria"/>
        </w:rPr>
        <w:t xml:space="preserve">: modifica REACH, límite de cromo VI en cuero de </w:t>
      </w:r>
      <w:r>
        <w:rPr>
          <w:rFonts w:ascii="Cambria" w:hAnsi="Cambria"/>
          <w:b/>
          <w:bCs/>
        </w:rPr>
        <w:t xml:space="preserve">1,0 mg/kg</w:t>
      </w:r>
      <w:r>
        <w:rPr>
          <w:rFonts w:ascii="Cambria" w:hAnsi="Cambria"/>
        </w:rPr>
        <w:t xml:space="preserve">.</w:t>
      </w:r>
    </w:p>
    <w:p>
      <w:pPr>
        <w:numPr>
          <w:ilvl w:val="0"/>
          <w:numId w:val="1"/>
        </w:numPr>
        <w:jc w:val="both"/>
        <w:rPr>
          <w:rFonts w:ascii="Cambria" w:hAnsi="Cambria"/>
        </w:rPr>
      </w:pPr>
      <w:r>
        <w:rPr>
          <w:rFonts w:ascii="Cambria" w:hAnsi="Cambria"/>
          <w:b/>
          <w:bCs/>
        </w:rPr>
        <w:t xml:space="preserve">Reglamento (UE) 2023/988 (RGSP)</w:t>
      </w:r>
      <w:r>
        <w:rPr>
          <w:rFonts w:ascii="Cambria" w:hAnsi="Cambria"/>
        </w:rPr>
        <w:t xml:space="preserve">: refuerza controles del calzado en línea.</w:t>
      </w:r>
    </w:p>
    <w:p>
      <w:pPr>
        <w:numPr>
          <w:ilvl w:val="0"/>
          <w:numId w:val="1"/>
        </w:numPr>
        <w:jc w:val="both"/>
        <w:rPr>
          <w:rFonts w:ascii="Cambria" w:hAnsi="Cambria"/>
        </w:rPr>
      </w:pPr>
      <w:r>
        <w:rPr>
          <w:rFonts w:ascii="Cambria" w:hAnsi="Cambria"/>
        </w:rPr>
        <w:t xml:space="preserve">Normas: </w:t>
      </w:r>
      <w:r>
        <w:rPr>
          <w:rFonts w:ascii="Cambria" w:hAnsi="Cambria"/>
          <w:b/>
          <w:bCs/>
        </w:rPr>
        <w:t xml:space="preserve">UNE 40902:2020</w:t>
      </w:r>
      <w:r>
        <w:rPr>
          <w:rFonts w:ascii="Cambria" w:hAnsi="Cambria"/>
        </w:rPr>
        <w:t xml:space="preserve"> y </w:t>
      </w:r>
      <w:r>
        <w:rPr>
          <w:rFonts w:ascii="Cambria" w:hAnsi="Cambria"/>
          <w:b/>
          <w:bCs/>
        </w:rPr>
        <w:t xml:space="preserve">UNE-EN 59300:2017</w:t>
      </w:r>
      <w:r>
        <w:rPr>
          <w:rFonts w:ascii="Cambria" w:hAnsi="Cambria"/>
        </w:rPr>
        <w:t xml:space="preserve"> (calzado infantil).</w:t>
      </w:r>
    </w:p>
    <w:p>
      <w:pPr>
        <w:numPr>
          <w:ilvl w:val="0"/>
          <w:numId w:val="1"/>
        </w:numPr>
        <w:jc w:val="both"/>
        <w:rPr>
          <w:rFonts w:ascii="Cambria" w:hAnsi="Cambria"/>
        </w:rPr>
      </w:pPr>
      <w:r>
        <w:rPr>
          <w:rFonts w:ascii="Cambria" w:hAnsi="Cambria"/>
        </w:rPr>
        <w:t xml:space="preserve">Procedimiento SOIVRE similar al textil: verificación EPI, etiquetado con identificación del importador (ausencia como No Conformidad Subsanable), composición exigible en mercado no en despacho, origen no obligatorio, etiquetado en castellano. El calzado no lleva marcado CE.</w:t>
      </w:r>
    </w:p>
    <w:p>
      <w:pPr>
        <w:numPr>
          <w:ilvl w:val="0"/>
          <w:numId w:val="1"/>
        </w:numPr>
        <w:jc w:val="both"/>
        <w:rPr>
          <w:rFonts w:ascii="Cambria" w:hAnsi="Cambria"/>
        </w:rPr>
      </w:pPr>
      <w:r>
        <w:rPr>
          <w:rFonts w:ascii="Cambria" w:hAnsi="Cambria"/>
        </w:rPr>
        <w:t xml:space="preserve">Ensayos: DMF, pentaclorofenol (</w:t>
      </w:r>
      <w:r>
        <w:rPr>
          <w:rFonts w:ascii="Cambria" w:hAnsi="Cambria"/>
          <w:b/>
          <w:bCs/>
        </w:rPr>
        <w:t xml:space="preserve">UNE 59510:2007</w:t>
      </w:r>
      <w:r>
        <w:rPr>
          <w:rFonts w:ascii="Cambria" w:hAnsi="Cambria"/>
        </w:rPr>
        <w:t xml:space="preserve">), colorantes azóicos (</w:t>
      </w:r>
      <w:r>
        <w:rPr>
          <w:rFonts w:ascii="Cambria" w:hAnsi="Cambria"/>
          <w:b/>
          <w:bCs/>
        </w:rPr>
        <w:t xml:space="preserve">Reglamento (CE) 552/2009</w:t>
      </w:r>
      <w:r>
        <w:rPr>
          <w:rFonts w:ascii="Cambria" w:hAnsi="Cambria"/>
        </w:rPr>
        <w:t xml:space="preserve">), cromo VI, cadmio y plomo (REACH), sustancias solubles (</w:t>
      </w:r>
      <w:r>
        <w:rPr>
          <w:rFonts w:ascii="Cambria" w:hAnsi="Cambria"/>
          <w:b/>
          <w:bCs/>
        </w:rPr>
        <w:t xml:space="preserve">UNE-EN ISO 20869:2010</w:t>
      </w:r>
      <w:r>
        <w:rPr>
          <w:rFonts w:ascii="Cambria" w:hAnsi="Cambria"/>
        </w:rPr>
        <w:t xml:space="preserve">), pH en cuero (</w:t>
      </w:r>
      <w:r>
        <w:rPr>
          <w:rFonts w:ascii="Cambria" w:hAnsi="Cambria"/>
          <w:b/>
          <w:bCs/>
        </w:rPr>
        <w:t xml:space="preserve">UNE-EN ISO 4045:2019</w:t>
      </w:r>
      <w:r>
        <w:rPr>
          <w:rFonts w:ascii="Cambria" w:hAnsi="Cambria"/>
        </w:rPr>
        <w:t xml:space="preserve">), ftalatos en calzado de plástico infantil.</w:t>
      </w:r>
    </w:p>
    <w:p>
      <w:pPr>
        <w:pStyle w:val="Ttulo1"/>
        <w:jc w:val="both"/>
        <w:rPr>
          <w:rFonts w:ascii="Cambria" w:hAnsi="Cambria"/>
          <w:b/>
          <w:bCs/>
          <w:color w:val="auto"/>
          <w:sz w:val="28"/>
          <w:szCs w:val="28"/>
        </w:rPr>
      </w:pPr>
      <w:r>
        <w:rPr>
          <w:rFonts w:ascii="Cambria" w:hAnsi="Cambria"/>
          <w:b/>
          <w:bCs/>
          <w:color w:val="auto"/>
          <w:sz w:val="28"/>
          <w:szCs w:val="28"/>
        </w:rPr>
        <w:t xml:space="preserve">4. SUBSECTOR DE LOS EQUIPOS DE PROTECCIÓN INDIVIDUAL (EPIs)</w:t>
      </w:r>
    </w:p>
    <w:p>
      <w:pPr>
        <w:pStyle w:val="Ttulo2"/>
        <w:jc w:val="both"/>
        <w:rPr>
          <w:rFonts w:ascii="Cambria" w:hAnsi="Cambria"/>
          <w:b/>
          <w:bCs/>
          <w:color w:val="auto"/>
          <w:sz w:val="24"/>
          <w:szCs w:val="24"/>
        </w:rPr>
      </w:pPr>
      <w:r>
        <w:rPr>
          <w:rFonts w:ascii="Cambria" w:hAnsi="Cambria"/>
          <w:b/>
          <w:bCs/>
          <w:color w:val="auto"/>
          <w:sz w:val="24"/>
          <w:szCs w:val="24"/>
        </w:rPr>
        <w:t xml:space="preserve">4.1. Definición y categorías</w:t>
      </w:r>
    </w:p>
    <w:p>
      <w:pPr>
        <w:numPr>
          <w:ilvl w:val="0"/>
          <w:numId w:val="1"/>
        </w:numPr>
        <w:jc w:val="both"/>
        <w:rPr>
          <w:rFonts w:ascii="Cambria" w:hAnsi="Cambria"/>
        </w:rPr>
      </w:pPr>
      <w:r>
        <w:rPr>
          <w:rFonts w:ascii="Cambria" w:hAnsi="Cambria"/>
          <w:b/>
          <w:bCs/>
        </w:rPr>
        <w:t xml:space="preserve">Reglamento (UE) 2016/425</w:t>
      </w:r>
      <w:r>
        <w:rPr>
          <w:rFonts w:ascii="Cambria" w:hAnsi="Cambria"/>
        </w:rPr>
        <w:t xml:space="preserve">: define EPI como equipo para protección personal, sus componentes intercambiables esenciales y sistemas de conexión a anclaje externo.</w:t>
      </w:r>
    </w:p>
    <w:p>
      <w:pPr>
        <w:numPr>
          <w:ilvl w:val="0"/>
          <w:numId w:val="1"/>
        </w:numPr>
        <w:jc w:val="both"/>
        <w:rPr>
          <w:rFonts w:ascii="Cambria" w:hAnsi="Cambria"/>
        </w:rPr>
      </w:pPr>
      <w:r>
        <w:rPr>
          <w:rFonts w:ascii="Cambria" w:hAnsi="Cambria"/>
          <w:b/>
          <w:bCs/>
        </w:rPr>
        <w:t xml:space="preserve">Categoría I</w:t>
      </w:r>
      <w:r>
        <w:rPr>
          <w:rFonts w:ascii="Cambria" w:hAnsi="Cambria"/>
        </w:rPr>
        <w:t xml:space="preserve"> (riesgos mínimos): sin examen UE de tipo. Ejemplos: guantes de jardinería, gafas de sol, calzado de azafatas.</w:t>
      </w:r>
    </w:p>
    <w:p>
      <w:pPr>
        <w:numPr>
          <w:ilvl w:val="0"/>
          <w:numId w:val="1"/>
        </w:numPr>
        <w:jc w:val="both"/>
        <w:rPr>
          <w:rFonts w:ascii="Cambria" w:hAnsi="Cambria"/>
        </w:rPr>
      </w:pPr>
      <w:r>
        <w:rPr>
          <w:rFonts w:ascii="Cambria" w:hAnsi="Cambria"/>
          <w:b/>
          <w:bCs/>
        </w:rPr>
        <w:t xml:space="preserve">Categoría II</w:t>
      </w:r>
      <w:r>
        <w:rPr>
          <w:rFonts w:ascii="Cambria" w:hAnsi="Cambria"/>
        </w:rPr>
        <w:t xml:space="preserve"> (riesgos intermedios): mayoría de los EPIs, requieren examen UE de tipo. Ejemplo: calzado de trabajo con puntera metálica.</w:t>
      </w:r>
    </w:p>
    <w:p>
      <w:pPr>
        <w:numPr>
          <w:ilvl w:val="0"/>
          <w:numId w:val="1"/>
        </w:numPr>
        <w:jc w:val="both"/>
        <w:rPr>
          <w:rFonts w:ascii="Cambria" w:hAnsi="Cambria"/>
        </w:rPr>
      </w:pPr>
      <w:r>
        <w:rPr>
          <w:rFonts w:ascii="Cambria" w:hAnsi="Cambria"/>
          <w:b/>
          <w:bCs/>
        </w:rPr>
        <w:t xml:space="preserve">Categoría III</w:t>
      </w:r>
      <w:r>
        <w:rPr>
          <w:rFonts w:ascii="Cambria" w:hAnsi="Cambria"/>
        </w:rPr>
        <w:t xml:space="preserve"> (riesgos mortales o irreversibles): examen UE de tipo y control de producción por organismo notificado. Ejemplo: protección respiratoria, botas de bombero.</w:t>
      </w:r>
    </w:p>
    <w:p>
      <w:pPr>
        <w:pStyle w:val="Ttulo2"/>
        <w:jc w:val="both"/>
        <w:rPr>
          <w:rFonts w:ascii="Cambria" w:hAnsi="Cambria"/>
          <w:b/>
          <w:bCs/>
          <w:color w:val="auto"/>
          <w:sz w:val="24"/>
          <w:szCs w:val="24"/>
        </w:rPr>
      </w:pPr>
      <w:r>
        <w:rPr>
          <w:rFonts w:ascii="Cambria" w:hAnsi="Cambria"/>
          <w:b/>
          <w:bCs/>
          <w:color w:val="auto"/>
          <w:sz w:val="24"/>
          <w:szCs w:val="24"/>
        </w:rPr>
        <w:t xml:space="preserve">4.2. Documentación y análisis sectorial</w:t>
      </w:r>
    </w:p>
    <w:p>
      <w:pPr>
        <w:numPr>
          <w:ilvl w:val="0"/>
          <w:numId w:val="1"/>
        </w:numPr>
        <w:jc w:val="both"/>
        <w:rPr>
          <w:rFonts w:ascii="Cambria" w:hAnsi="Cambria"/>
        </w:rPr>
      </w:pPr>
      <w:r>
        <w:rPr>
          <w:rFonts w:ascii="Cambria" w:hAnsi="Cambria"/>
        </w:rPr>
        <w:t xml:space="preserve">Documentación exigida: folleto informativo, declaración UE de conformidad e informes de ensayo (las 3 categorías), certificado de examen UE de tipo (categorías II y III), autocertificación (categoría I), certificado de control de producción (categoría III).</w:t>
      </w:r>
    </w:p>
    <w:p>
      <w:pPr>
        <w:numPr>
          <w:ilvl w:val="0"/>
          <w:numId w:val="1"/>
        </w:numPr>
        <w:jc w:val="both"/>
        <w:rPr>
          <w:rFonts w:ascii="Cambria" w:hAnsi="Cambria"/>
        </w:rPr>
      </w:pPr>
      <w:r>
        <w:rPr>
          <w:rFonts w:ascii="Cambria" w:hAnsi="Cambria"/>
        </w:rPr>
        <w:t xml:space="preserve">Marcado CE obligatorio y visible, categoría III añade el código del organismo notificado, productos de un solo uso deben indicar "No reutilizables".</w:t>
      </w:r>
    </w:p>
    <w:p>
      <w:pPr>
        <w:numPr>
          <w:ilvl w:val="0"/>
          <w:numId w:val="1"/>
        </w:numPr>
        <w:jc w:val="both"/>
        <w:rPr>
          <w:rFonts w:ascii="Cambria" w:hAnsi="Cambria"/>
        </w:rPr>
      </w:pPr>
      <w:r>
        <w:rPr>
          <w:rFonts w:ascii="Cambria" w:hAnsi="Cambria"/>
        </w:rPr>
        <w:t xml:space="preserve">España cuenta con unas </w:t>
      </w:r>
      <w:r>
        <w:rPr>
          <w:rFonts w:ascii="Cambria" w:hAnsi="Cambria"/>
          <w:b/>
          <w:bCs/>
        </w:rPr>
        <w:t xml:space="preserve">200 empresas</w:t>
      </w:r>
      <w:r>
        <w:rPr>
          <w:rFonts w:ascii="Cambria" w:hAnsi="Cambria"/>
        </w:rPr>
        <w:t xml:space="preserve">, 5º inversor europeo. Exportaciones principalmente a Alemania, apoyo en ferias como </w:t>
      </w:r>
      <w:r>
        <w:rPr>
          <w:rFonts w:ascii="Cambria" w:hAnsi="Cambria"/>
          <w:b/>
          <w:bCs/>
        </w:rPr>
        <w:t xml:space="preserve">SICUR</w:t>
      </w:r>
      <w:r>
        <w:rPr>
          <w:rFonts w:ascii="Cambria" w:hAnsi="Cambria"/>
        </w:rPr>
        <w:t xml:space="preserve">. La pandemia de COVID-19 impulsó la producción y evidenció la dependencia de Asia.</w:t>
      </w:r>
    </w:p>
    <w:p>
      <w:pPr>
        <w:numPr>
          <w:ilvl w:val="0"/>
          <w:numId w:val="1"/>
        </w:numPr>
        <w:jc w:val="both"/>
        <w:rPr>
          <w:rFonts w:ascii="Cambria" w:hAnsi="Cambria"/>
        </w:rPr>
      </w:pPr>
      <w:r>
        <w:rPr>
          <w:rFonts w:ascii="Cambria" w:hAnsi="Cambria"/>
        </w:rPr>
        <w:t xml:space="preserve">Según DATACOMEX (2025), déficit comercial, exportaciones mayoritarias a la UE e importaciones desde la UE y China.</w:t>
      </w:r>
    </w:p>
    <w:p>
      <w:pPr>
        <w:numPr>
          <w:ilvl w:val="0"/>
          <w:numId w:val="1"/>
        </w:numPr>
        <w:jc w:val="both"/>
        <w:rPr>
          <w:rFonts w:ascii="Cambria" w:hAnsi="Cambria"/>
        </w:rPr>
      </w:pPr>
      <w:r>
        <w:rPr>
          <w:rFonts w:ascii="Cambria" w:hAnsi="Cambria"/>
          <w:b/>
          <w:bCs/>
        </w:rPr>
        <w:t xml:space="preserve">Reglamento (UE) 2016/425</w:t>
      </w:r>
      <w:r>
        <w:rPr>
          <w:rFonts w:ascii="Cambria" w:hAnsi="Cambria"/>
        </w:rPr>
        <w:t xml:space="preserve">: con efectos plenos desde el </w:t>
      </w:r>
      <w:r>
        <w:rPr>
          <w:rFonts w:ascii="Cambria" w:hAnsi="Cambria"/>
          <w:b/>
          <w:bCs/>
        </w:rPr>
        <w:t xml:space="preserve">21 de abril de 2019</w:t>
      </w:r>
      <w:r>
        <w:rPr>
          <w:rFonts w:ascii="Cambria" w:hAnsi="Cambria"/>
        </w:rPr>
        <w:t xml:space="preserve">.</w:t>
      </w:r>
    </w:p>
    <w:p>
      <w:pPr>
        <w:numPr>
          <w:ilvl w:val="0"/>
          <w:numId w:val="1"/>
        </w:numPr>
        <w:jc w:val="both"/>
        <w:rPr>
          <w:rFonts w:ascii="Cambria" w:hAnsi="Cambria"/>
        </w:rPr>
      </w:pPr>
      <w:r>
        <w:rPr>
          <w:rFonts w:ascii="Cambria" w:hAnsi="Cambria"/>
          <w:b/>
          <w:bCs/>
        </w:rPr>
        <w:t xml:space="preserve">Real Decreto 1407/1992</w:t>
      </w:r>
      <w:r>
        <w:rPr>
          <w:rFonts w:ascii="Cambria" w:hAnsi="Cambria"/>
        </w:rPr>
        <w:t xml:space="preserve">: transpuso la anterior directiva, referencia interpretativa del SOIVRE.</w:t>
      </w:r>
    </w:p>
    <w:p>
      <w:pPr>
        <w:numPr>
          <w:ilvl w:val="0"/>
          <w:numId w:val="1"/>
        </w:numPr>
        <w:jc w:val="both"/>
        <w:rPr>
          <w:rFonts w:ascii="Cambria" w:hAnsi="Cambria"/>
        </w:rPr>
      </w:pPr>
      <w:r>
        <w:rPr>
          <w:rFonts w:ascii="Cambria" w:hAnsi="Cambria"/>
          <w:b/>
          <w:bCs/>
        </w:rPr>
        <w:t xml:space="preserve">Real Decreto 773/1997</w:t>
      </w:r>
      <w:r>
        <w:rPr>
          <w:rFonts w:ascii="Cambria" w:hAnsi="Cambria"/>
        </w:rPr>
        <w:t xml:space="preserve">: seguridad y salud de los trabajadores en el uso de EPIs.</w:t>
      </w:r>
    </w:p>
    <w:p>
      <w:pPr>
        <w:numPr>
          <w:ilvl w:val="0"/>
          <w:numId w:val="1"/>
        </w:numPr>
        <w:jc w:val="both"/>
        <w:rPr>
          <w:rFonts w:ascii="Cambria" w:hAnsi="Cambria"/>
        </w:rPr>
      </w:pPr>
      <w:r>
        <w:rPr>
          <w:rFonts w:ascii="Cambria" w:hAnsi="Cambria"/>
        </w:rPr>
        <w:t xml:space="preserve">Normas armonizadas: </w:t>
      </w:r>
      <w:r>
        <w:rPr>
          <w:rFonts w:ascii="Cambria" w:hAnsi="Cambria"/>
          <w:b/>
          <w:bCs/>
        </w:rPr>
        <w:t xml:space="preserve">UNE-EN 21420:2020</w:t>
      </w:r>
      <w:r>
        <w:rPr>
          <w:rFonts w:ascii="Cambria" w:hAnsi="Cambria"/>
        </w:rPr>
        <w:t xml:space="preserve"> (guantes), </w:t>
      </w:r>
      <w:r>
        <w:rPr>
          <w:rFonts w:ascii="Cambria" w:hAnsi="Cambria"/>
          <w:b/>
          <w:bCs/>
        </w:rPr>
        <w:t xml:space="preserve">UNE-EN ISO 13688:2013</w:t>
      </w:r>
      <w:r>
        <w:rPr>
          <w:rFonts w:ascii="Cambria" w:hAnsi="Cambria"/>
        </w:rPr>
        <w:t xml:space="preserve"> (ropa de protección), </w:t>
      </w:r>
      <w:r>
        <w:rPr>
          <w:rFonts w:ascii="Cambria" w:hAnsi="Cambria"/>
          <w:b/>
          <w:bCs/>
        </w:rPr>
        <w:t xml:space="preserve">UNE-EN ISO 20345/20346/20347:2022</w:t>
      </w:r>
      <w:r>
        <w:rPr>
          <w:rFonts w:ascii="Cambria" w:hAnsi="Cambria"/>
        </w:rPr>
        <w:t xml:space="preserve"> (calzado de seguridad, protección y trabajo).</w:t>
      </w:r>
    </w:p>
    <w:p>
      <w:pPr>
        <w:pStyle w:val="Ttulo1"/>
        <w:jc w:val="both"/>
        <w:rPr>
          <w:rFonts w:ascii="Cambria" w:hAnsi="Cambria"/>
          <w:b/>
          <w:bCs/>
          <w:color w:val="auto"/>
          <w:sz w:val="28"/>
          <w:szCs w:val="28"/>
        </w:rPr>
      </w:pPr>
      <w:r>
        <w:rPr>
          <w:rFonts w:ascii="Cambria" w:hAnsi="Cambria"/>
          <w:b/>
          <w:bCs/>
          <w:color w:val="auto"/>
          <w:sz w:val="28"/>
          <w:szCs w:val="28"/>
        </w:rPr>
        <w:t xml:space="preserve">5. CONCLUSIÓN</w:t>
      </w:r>
    </w:p>
    <w:p>
      <w:pPr>
        <w:numPr>
          <w:ilvl w:val="0"/>
          <w:numId w:val="1"/>
        </w:numPr>
        <w:jc w:val="both"/>
        <w:rPr>
          <w:rFonts w:ascii="Cambria" w:hAnsi="Cambria"/>
        </w:rPr>
      </w:pPr>
      <w:r>
        <w:rPr>
          <w:rFonts w:ascii="Cambria" w:hAnsi="Cambria"/>
        </w:rPr>
        <w:t xml:space="preserve">El sector combina fuerte competencia internacional, especialmente asiática, con exigencias crecientes de seguridad y trazabilidad, situando al </w:t>
      </w:r>
      <w:r>
        <w:rPr>
          <w:rFonts w:ascii="Cambria" w:hAnsi="Cambria"/>
          <w:b/>
          <w:bCs/>
        </w:rPr>
        <w:t xml:space="preserve">SOIVRE</w:t>
      </w:r>
      <w:r>
        <w:rPr>
          <w:rFonts w:ascii="Cambria" w:hAnsi="Cambria"/>
        </w:rPr>
        <w:t xml:space="preserve"> como barrera clave de control en frontera.</w:t>
      </w:r>
    </w:p>
    <w:p>
      <w:pPr>
        <w:numPr>
          <w:ilvl w:val="0"/>
          <w:numId w:val="1"/>
        </w:numPr>
        <w:jc w:val="both"/>
        <w:rPr>
          <w:rFonts w:ascii="Cambria" w:hAnsi="Cambria"/>
        </w:rPr>
      </w:pPr>
      <w:r>
        <w:rPr>
          <w:rFonts w:ascii="Cambria" w:hAnsi="Cambria"/>
        </w:rPr>
        <w:t xml:space="preserve">La </w:t>
      </w:r>
      <w:r>
        <w:rPr>
          <w:rFonts w:ascii="Cambria" w:hAnsi="Cambria"/>
          <w:b/>
          <w:bCs/>
        </w:rPr>
        <w:t xml:space="preserve">Orden PJC/161/2026</w:t>
      </w:r>
      <w:r>
        <w:rPr>
          <w:rFonts w:ascii="Cambria" w:hAnsi="Cambria"/>
        </w:rPr>
        <w:t xml:space="preserve"> amplía el ámbito de actuación del SOIVRE, incorporando prendas infantiles, guantes de motociclismo y mayor detalle de EPIs.</w:t>
      </w:r>
    </w:p>
    <w:p>
      <w:pPr>
        <w:numPr>
          <w:ilvl w:val="0"/>
          <w:numId w:val="1"/>
        </w:numPr>
        <w:jc w:val="both"/>
        <w:rPr>
          <w:rFonts w:ascii="Cambria" w:hAnsi="Cambria"/>
        </w:rPr>
      </w:pPr>
      <w:r>
        <w:rPr>
          <w:rFonts w:ascii="Cambria" w:hAnsi="Cambria"/>
        </w:rPr>
        <w:t xml:space="preserve">El </w:t>
      </w:r>
      <w:r>
        <w:rPr>
          <w:rFonts w:ascii="Cambria" w:hAnsi="Cambria"/>
          <w:b/>
          <w:bCs/>
        </w:rPr>
        <w:t xml:space="preserve">Acuerdo Interino UE-Mercosur</w:t>
      </w:r>
      <w:r>
        <w:rPr>
          <w:rFonts w:ascii="Cambria" w:hAnsi="Cambria"/>
        </w:rPr>
        <w:t xml:space="preserve">, en aplicación provisional desde el </w:t>
      </w:r>
      <w:r>
        <w:rPr>
          <w:rFonts w:ascii="Cambria" w:hAnsi="Cambria"/>
          <w:b/>
          <w:bCs/>
        </w:rPr>
        <w:t xml:space="preserve">1 de mayo de 2026</w:t>
      </w:r>
      <w:r>
        <w:rPr>
          <w:rFonts w:ascii="Cambria" w:hAnsi="Cambria"/>
        </w:rPr>
        <w:t xml:space="preserve">, abre oportunidades exportadoras pero intensifica la competencia de Brasil y Argentina, exigiendo mayor control de seguridad y etiquetado ante el previsible aumento de importaciones.</w:t>
      </w:r>
    </w:p>
    <w:p>
      <w:pPr>
        <w:numPr>
          <w:ilvl w:val="0"/>
          <w:numId w:val="1"/>
        </w:numPr>
        <w:jc w:val="both"/>
        <w:rPr>
          <w:rFonts w:ascii="Cambria" w:hAnsi="Cambria"/>
        </w:rPr>
      </w:pPr>
      <w:r>
        <w:rPr>
          <w:rFonts w:ascii="Cambria" w:hAnsi="Cambria"/>
        </w:rPr>
        <w:t xml:space="preserve">El </w:t>
      </w:r>
      <w:r>
        <w:rPr>
          <w:rFonts w:ascii="Cambria" w:hAnsi="Cambria"/>
          <w:b/>
          <w:bCs/>
        </w:rPr>
        <w:t xml:space="preserve">ESPR</w:t>
      </w:r>
      <w:r>
        <w:rPr>
          <w:rFonts w:ascii="Cambria" w:hAnsi="Cambria"/>
        </w:rPr>
        <w:t xml:space="preserve"> y el derecho a la reparación reforzarán el papel del SOIVRE como garante de productos seguros, conformes y trazables en un entorno comercial más abierto.</w:t>
      </w:r>
    </w:p>
    <w:sectPr w:rsidR="00A65383" w:rsidRPr="007114D7">
      <w:footerReference w:type="default" r:id="rId90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E737" w14:textId="77777777" w:rsidR="00F85B76" w:rsidRDefault="00F85B76" w:rsidP="00F85B76">
      <w:pPr>
        <w:spacing w:after="0" w:line="240" w:lineRule="auto"/>
      </w:pPr>
      <w:r>
        <w:separator/>
      </w:r>
    </w:p>
  </w:endnote>
  <w:endnote w:type="continuationSeparator" w:id="0">
    <w:p w14:paraId="147C91B0" w14:textId="77777777" w:rsidR="00F85B76" w:rsidRDefault="00F85B76" w:rsidP="00F8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http://schemas.openxmlformats.org/wordprocessingml/2006/main">
  <w:p>
    <w:pPr>
      <w:pStyle w:val="Piedepgina"/>
      <w:jc w:val="center"/>
      <w:rPr>
        <w:rFonts w:ascii="Palatino Linotype" w:eastAsia="Palatino Linotype" w:hAnsi="Palatino Linotype" w:cs="Palatino Linotype"/>
        <w:b/>
        <w:bCs/>
        <w:color w:val="000000"/>
        <w:sz w:val="24"/>
        <w:szCs w:val="24"/>
      </w:rPr>
    </w:pPr>
    <w:r>
      <w:rPr>
        <w:rFonts w:ascii="Palatino Linotype" w:eastAsia="Palatino Linotype" w:hAnsi="Palatino Linotype" w:cs="Palatino Linotype"/>
        <w:b/>
        <w:bCs/>
        <w:color w:val="000000"/>
        <w:sz w:val="24"/>
        <w:szCs w:val="24"/>
      </w:rPr>
      <w:t>SERGIO ARGUDO SANTIAGO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A500" w14:textId="77777777" w:rsidR="00F85B76" w:rsidRDefault="00F85B76" w:rsidP="00F85B76">
      <w:pPr>
        <w:spacing w:after="0" w:line="240" w:lineRule="auto"/>
      </w:pPr>
      <w:r>
        <w:separator/>
      </w:r>
    </w:p>
  </w:footnote>
  <w:footnote w:type="continuationSeparator" w:id="0">
    <w:p w14:paraId="5EBB74E5" w14:textId="77777777" w:rsidR="00F85B76" w:rsidRDefault="00F85B76" w:rsidP="00F85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jc w:val="both"/>
      <w:rPr>
        <w:rFonts w:ascii="Palatino Linotype" w:hAnsi="Palatino Linotype"/>
        <w:i/>
        <w:iCs/>
      </w:rPr>
    </w:pPr>
    <w:r>
      <w:rPr>
        <w:rFonts w:ascii="Palatino Linotype" w:hAnsi="Palatino Linotype"/>
        <w:i/>
        <w:iCs/>
      </w:rPr>
      <w:t xml:space="preserve">TEMA 19 – Sector de manufacturas de consumo (I): Textil y confección. Calzado. Equipos de Protección Individual (Textil y Calzado)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A5E"/>
    <w:multiLevelType w:val="multilevel"/>
    <w:tmpl w:val="17686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A086D"/>
    <w:multiLevelType w:val="multilevel"/>
    <w:tmpl w:val="C636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64527"/>
    <w:multiLevelType w:val="multilevel"/>
    <w:tmpl w:val="4484D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9671D"/>
    <w:multiLevelType w:val="multilevel"/>
    <w:tmpl w:val="FF7AB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45E70"/>
    <w:multiLevelType w:val="multilevel"/>
    <w:tmpl w:val="4CF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AA3"/>
    <w:multiLevelType w:val="multilevel"/>
    <w:tmpl w:val="E600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72879"/>
    <w:multiLevelType w:val="multilevel"/>
    <w:tmpl w:val="C3DA2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5A7F"/>
    <w:multiLevelType w:val="multilevel"/>
    <w:tmpl w:val="EE363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90683"/>
    <w:multiLevelType w:val="multilevel"/>
    <w:tmpl w:val="F0EA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F2D55"/>
    <w:multiLevelType w:val="multilevel"/>
    <w:tmpl w:val="BCE4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C63FF"/>
    <w:multiLevelType w:val="multilevel"/>
    <w:tmpl w:val="10A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A721B"/>
    <w:multiLevelType w:val="multilevel"/>
    <w:tmpl w:val="9654A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D13DD"/>
    <w:multiLevelType w:val="multilevel"/>
    <w:tmpl w:val="88A6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2984031">
    <w:abstractNumId w:val="7"/>
  </w:num>
  <w:num w:numId="2" w16cid:durableId="936329550">
    <w:abstractNumId w:val="4"/>
  </w:num>
  <w:num w:numId="3" w16cid:durableId="11223434">
    <w:abstractNumId w:val="0"/>
  </w:num>
  <w:num w:numId="4" w16cid:durableId="1698307743">
    <w:abstractNumId w:val="12"/>
  </w:num>
  <w:num w:numId="5" w16cid:durableId="1213886216">
    <w:abstractNumId w:val="11"/>
  </w:num>
  <w:num w:numId="6" w16cid:durableId="1037045334">
    <w:abstractNumId w:val="6"/>
  </w:num>
  <w:num w:numId="7" w16cid:durableId="638070075">
    <w:abstractNumId w:val="3"/>
  </w:num>
  <w:num w:numId="8" w16cid:durableId="616715768">
    <w:abstractNumId w:val="10"/>
  </w:num>
  <w:num w:numId="9" w16cid:durableId="1616985504">
    <w:abstractNumId w:val="9"/>
  </w:num>
  <w:num w:numId="10" w16cid:durableId="1055738181">
    <w:abstractNumId w:val="8"/>
  </w:num>
  <w:num w:numId="11" w16cid:durableId="928273277">
    <w:abstractNumId w:val="1"/>
  </w:num>
  <w:num w:numId="12" w16cid:durableId="919099836">
    <w:abstractNumId w:val="2"/>
  </w:num>
  <w:num w:numId="13" w16cid:durableId="522478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B76"/>
    <w:rsid w:val="00457D88"/>
    <w:rsid w:val="005803BC"/>
    <w:rsid w:val="00600D28"/>
    <w:rsid w:val="00656837"/>
    <w:rsid w:val="006A0D39"/>
    <w:rsid w:val="007114D7"/>
    <w:rsid w:val="00975640"/>
    <w:rsid w:val="00A65383"/>
    <w:rsid w:val="00A8675C"/>
    <w:rsid w:val="00BB1DEC"/>
    <w:rsid w:val="00C12CFD"/>
    <w:rsid w:val="00D45530"/>
    <w:rsid w:val="00E15422"/>
    <w:rsid w:val="00E7657A"/>
    <w:rsid w:val="00EE6C5F"/>
    <w:rsid w:val="00F85B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F6C1"/>
  <w15:chartTrackingRefBased/>
  <w15:docId w15:val="{B64D109C-3694-4C93-A841-AE8DEB4F8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5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B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B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B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B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B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B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B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85B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5B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B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B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B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B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B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B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B76"/>
    <w:rPr>
      <w:rFonts w:eastAsiaTheme="majorEastAsia" w:cstheme="majorBidi"/>
      <w:color w:val="272727" w:themeColor="text1" w:themeTint="D8"/>
    </w:rPr>
  </w:style>
  <w:style w:type="paragraph" w:styleId="Ttulo">
    <w:name w:val="Title"/>
    <w:basedOn w:val="Normal"/>
    <w:next w:val="Normal"/>
    <w:link w:val="TtuloCar"/>
    <w:uiPriority w:val="10"/>
    <w:qFormat/>
    <w:rsid w:val="00F85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B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B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B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B76"/>
    <w:pPr>
      <w:spacing w:before="160"/>
      <w:jc w:val="center"/>
    </w:pPr>
    <w:rPr>
      <w:i/>
      <w:iCs/>
      <w:color w:val="404040" w:themeColor="text1" w:themeTint="BF"/>
    </w:rPr>
  </w:style>
  <w:style w:type="character" w:customStyle="1" w:styleId="CitaCar">
    <w:name w:val="Cita Car"/>
    <w:basedOn w:val="Fuentedeprrafopredeter"/>
    <w:link w:val="Cita"/>
    <w:uiPriority w:val="29"/>
    <w:rsid w:val="00F85B76"/>
    <w:rPr>
      <w:i/>
      <w:iCs/>
      <w:color w:val="404040" w:themeColor="text1" w:themeTint="BF"/>
    </w:rPr>
  </w:style>
  <w:style w:type="character" w:styleId="nfasisintenso">
    <w:name w:val="Intense Emphasis"/>
    <w:basedOn w:val="Fuentedeprrafopredeter"/>
    <w:uiPriority w:val="21"/>
    <w:qFormat/>
    <w:rsid w:val="00F85B76"/>
    <w:rPr>
      <w:i/>
      <w:iCs/>
      <w:color w:val="0F4761" w:themeColor="accent1" w:themeShade="BF"/>
    </w:rPr>
  </w:style>
  <w:style w:type="paragraph" w:styleId="Citadestacada">
    <w:name w:val="Intense Quote"/>
    <w:basedOn w:val="Normal"/>
    <w:next w:val="Normal"/>
    <w:link w:val="CitadestacadaCar"/>
    <w:uiPriority w:val="30"/>
    <w:qFormat/>
    <w:rsid w:val="00F85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B76"/>
    <w:rPr>
      <w:i/>
      <w:iCs/>
      <w:color w:val="0F4761" w:themeColor="accent1" w:themeShade="BF"/>
    </w:rPr>
  </w:style>
  <w:style w:type="character" w:styleId="Referenciaintensa">
    <w:name w:val="Intense Reference"/>
    <w:basedOn w:val="Fuentedeprrafopredeter"/>
    <w:uiPriority w:val="32"/>
    <w:qFormat/>
    <w:rsid w:val="00F85B76"/>
    <w:rPr>
      <w:b/>
      <w:bCs/>
      <w:smallCaps/>
      <w:color w:val="0F4761" w:themeColor="accent1" w:themeShade="BF"/>
      <w:spacing w:val="5"/>
    </w:rPr>
  </w:style>
  <w:style w:type="paragraph" w:styleId="Encabezado">
    <w:name w:val="header"/>
    <w:basedOn w:val="Normal"/>
    <w:link w:val="EncabezadoCar"/>
    <w:uiPriority w:val="99"/>
    <w:unhideWhenUsed/>
    <w:rsid w:val="00F85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B76"/>
  </w:style>
  <w:style w:type="paragraph" w:styleId="Piedepgina">
    <w:name w:val="footer"/>
    <w:basedOn w:val="Normal"/>
    <w:link w:val="PiedepginaCar"/>
    <w:uiPriority w:val="99"/>
    <w:unhideWhenUsed/>
    <w:rsid w:val="00F85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90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1112</Words>
  <Characters>6119</Characters>
  <Application>Microsoft Office Word</Application>
  <DocSecurity>0</DocSecurity>
  <Lines>50</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9</cp:revision>
  <dcterms:created xsi:type="dcterms:W3CDTF">2025-11-21T17:54:00Z</dcterms:created>
  <dcterms:modified xsi:type="dcterms:W3CDTF">2026-01-14T14:24:00Z</dcterms:modified>
</cp:coreProperties>
</file>