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en </w:t>
      </w:r>
      <w:r>
        <w:rPr>
          <w:rFonts w:ascii="Cambria" w:hAnsi="Cambria"/>
          <w:b/>
          <w:bCs/>
        </w:rPr>
        <w:t xml:space="preserve">2025</w:t>
      </w:r>
      <w:r>
        <w:rPr>
          <w:rFonts w:ascii="Cambria" w:hAnsi="Cambria"/>
        </w:rPr>
        <w:t xml:space="preserve"> el sector de frutas alcanzó </w:t>
      </w:r>
      <w:r>
        <w:rPr>
          <w:rFonts w:ascii="Cambria" w:hAnsi="Cambria"/>
          <w:b/>
          <w:bCs/>
        </w:rPr>
        <w:t xml:space="preserve">11.917,8 millones de euros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+9,7%</w:t>
      </w:r>
      <w:r>
        <w:rPr>
          <w:rFonts w:ascii="Cambria" w:hAnsi="Cambria"/>
        </w:rPr>
        <w:t xml:space="preserve"> sobre 2024), el </w:t>
      </w:r>
      <w:r>
        <w:rPr>
          <w:rFonts w:ascii="Cambria" w:hAnsi="Cambria"/>
          <w:b/>
          <w:bCs/>
        </w:rPr>
        <w:t xml:space="preserve">15,5%</w:t>
      </w:r>
      <w:r>
        <w:rPr>
          <w:rFonts w:ascii="Cambria" w:hAnsi="Cambria"/>
        </w:rPr>
        <w:t xml:space="preserve"> de las exportaciones agroalimentarias.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cítricos registran un </w:t>
      </w:r>
      <w:r>
        <w:rPr>
          <w:rFonts w:ascii="Cambria" w:hAnsi="Cambria"/>
          <w:b/>
          <w:bCs/>
        </w:rPr>
        <w:t xml:space="preserve">superávit superior a 3.300 millones de euros</w:t>
      </w:r>
      <w:r>
        <w:rPr>
          <w:rFonts w:ascii="Cambria" w:hAnsi="Cambria"/>
        </w:rPr>
        <w:t xml:space="preserve">, con tendencia al alza en 2025.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enmarcan en el </w:t>
      </w:r>
      <w:r>
        <w:rPr>
          <w:rFonts w:ascii="Cambria" w:hAnsi="Cambria"/>
          <w:b/>
          <w:bCs/>
        </w:rPr>
        <w:t xml:space="preserve">Plan de Internacionalización del Sector Agroalimentario</w:t>
      </w:r>
      <w:r>
        <w:rPr>
          <w:rFonts w:ascii="Cambria" w:hAnsi="Cambria"/>
        </w:rPr>
        <w:t xml:space="preserve">, a través del </w:t>
      </w:r>
      <w:r>
        <w:rPr>
          <w:rFonts w:ascii="Cambria" w:hAnsi="Cambria"/>
          <w:b/>
          <w:bCs/>
        </w:rPr>
        <w:t xml:space="preserve">GTISA</w:t>
      </w:r>
      <w:r>
        <w:rPr>
          <w:rFonts w:ascii="Cambria" w:hAnsi="Cambria"/>
        </w:rPr>
        <w:t xml:space="preserve"> (presidido por la Secretaría General de Agricultura y Alimentación del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), con un grupo dedicado a frutas y hortalizas.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ha protagonizado la </w:t>
      </w:r>
      <w:r>
        <w:rPr>
          <w:rFonts w:ascii="Cambria" w:hAnsi="Cambria"/>
          <w:b/>
          <w:bCs/>
        </w:rPr>
        <w:t xml:space="preserve">clementinización</w:t>
      </w:r>
      <w:r>
        <w:rPr>
          <w:rFonts w:ascii="Cambria" w:hAnsi="Cambria"/>
        </w:rPr>
        <w:t xml:space="preserve">: variedades de fácil pelado y sin semillas, muy aceptadas internacionalmente, aunque la reducción de márgenes ha impulsado la sustitución por cultivos como el </w:t>
      </w:r>
      <w:r>
        <w:rPr>
          <w:rFonts w:ascii="Cambria" w:hAnsi="Cambria"/>
          <w:b/>
          <w:bCs/>
        </w:rPr>
        <w:t xml:space="preserve">aguacate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1.1. Estructura del tema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Descripción de los principales productos: </w:t>
      </w:r>
      <w:r>
        <w:rPr>
          <w:rFonts w:ascii="Cambria" w:hAnsi="Cambria"/>
          <w:b/>
          <w:bCs/>
        </w:rPr>
        <w:t xml:space="preserve">mandarina, naranja dulce, naranja amarga, limón y pomelo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 calidad comercial: características generales mínimas y parámetros de calidad para el comercio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 aplicable: </w:t>
      </w:r>
      <w:r>
        <w:rPr>
          <w:rFonts w:ascii="Cambria" w:hAnsi="Cambria"/>
          <w:b/>
          <w:bCs/>
        </w:rPr>
        <w:t xml:space="preserve">OCM</w:t>
      </w:r>
      <w:r>
        <w:rPr>
          <w:rFonts w:ascii="Cambria" w:hAnsi="Cambria"/>
        </w:rPr>
        <w:t xml:space="preserve">, Normas de Comercialización UE, normas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, folletos OCDE, producción controlada (UNE), ecológica, integrada y legislación general.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PRODUCTOS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Familia </w:t>
      </w:r>
      <w:r>
        <w:rPr>
          <w:rFonts w:ascii="Cambria" w:hAnsi="Cambria"/>
          <w:b/>
          <w:bCs/>
        </w:rPr>
        <w:t xml:space="preserve">Rutáceas</w:t>
      </w:r>
      <w:r>
        <w:rPr>
          <w:rFonts w:ascii="Cambria" w:hAnsi="Cambria"/>
        </w:rPr>
        <w:t xml:space="preserve">, género </w:t>
      </w:r>
      <w:r>
        <w:rPr>
          <w:rFonts w:ascii="Cambria" w:hAnsi="Cambria"/>
          <w:b/>
          <w:bCs/>
        </w:rPr>
        <w:t xml:space="preserve">Citrus</w:t>
      </w:r>
      <w:r>
        <w:rPr>
          <w:rFonts w:ascii="Cambria" w:hAnsi="Cambria"/>
        </w:rPr>
        <w:t xml:space="preserve">, fruto tipo </w:t>
      </w:r>
      <w:r>
        <w:rPr>
          <w:rFonts w:ascii="Cambria" w:hAnsi="Cambria"/>
          <w:b/>
          <w:bCs/>
        </w:rPr>
        <w:t xml:space="preserve">hesperidio</w:t>
      </w:r>
      <w:r>
        <w:rPr>
          <w:rFonts w:ascii="Cambria" w:hAnsi="Cambria"/>
        </w:rPr>
        <w:t xml:space="preserve"> con </w:t>
      </w:r>
      <w:r>
        <w:rPr>
          <w:rFonts w:ascii="Cambria" w:hAnsi="Cambria"/>
          <w:b/>
          <w:bCs/>
        </w:rPr>
        <w:t xml:space="preserve">epicarpio/flavedo</w:t>
      </w:r>
      <w:r>
        <w:rPr>
          <w:rFonts w:ascii="Cambria" w:hAnsi="Cambria"/>
        </w:rPr>
        <w:t xml:space="preserve"> (aceites esenciales) y </w:t>
      </w:r>
      <w:r>
        <w:rPr>
          <w:rFonts w:ascii="Cambria" w:hAnsi="Cambria"/>
          <w:b/>
          <w:bCs/>
        </w:rPr>
        <w:t xml:space="preserve">mesocarpio/albedo</w:t>
      </w:r>
      <w:r>
        <w:rPr>
          <w:rFonts w:ascii="Cambria" w:hAnsi="Cambria"/>
        </w:rPr>
        <w:t xml:space="preserve"> (tejido blanco esponjoso), pulpa con </w:t>
      </w:r>
      <w:r>
        <w:rPr>
          <w:rFonts w:ascii="Cambria" w:hAnsi="Cambria"/>
          <w:b/>
          <w:bCs/>
        </w:rPr>
        <w:t xml:space="preserve">6-15 gajos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Mandarina (Citrus reticulata)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Mayor dinamismo varietal español. Tres grupos: </w:t>
      </w:r>
      <w:r>
        <w:rPr>
          <w:rFonts w:ascii="Cambria" w:hAnsi="Cambria"/>
          <w:b/>
          <w:bCs/>
        </w:rPr>
        <w:t xml:space="preserve">clementinas</w:t>
      </w:r>
      <w:r>
        <w:rPr>
          <w:rFonts w:ascii="Cambria" w:hAnsi="Cambria"/>
        </w:rPr>
        <w:t xml:space="preserve"> (Marisol, Clemenules, Hernandina), </w:t>
      </w:r>
      <w:r>
        <w:rPr>
          <w:rFonts w:ascii="Cambria" w:hAnsi="Cambria"/>
          <w:b/>
          <w:bCs/>
        </w:rPr>
        <w:t xml:space="preserve">satsumas</w:t>
      </w:r>
      <w:r>
        <w:rPr>
          <w:rFonts w:ascii="Cambria" w:hAnsi="Cambria"/>
        </w:rPr>
        <w:t xml:space="preserve"> (Hashimoto) y </w:t>
      </w:r>
      <w:r>
        <w:rPr>
          <w:rFonts w:ascii="Cambria" w:hAnsi="Cambria"/>
          <w:b/>
          <w:bCs/>
        </w:rPr>
        <w:t xml:space="preserve">híbridos</w:t>
      </w:r>
      <w:r>
        <w:rPr>
          <w:rFonts w:ascii="Cambria" w:hAnsi="Cambria"/>
        </w:rPr>
        <w:t xml:space="preserve"> (Fortuna, Ortanique).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Naranja dulce (Citrus sinensis)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Grupo </w:t>
      </w:r>
      <w:r>
        <w:rPr>
          <w:rFonts w:ascii="Cambria" w:hAnsi="Cambria"/>
          <w:b/>
          <w:bCs/>
        </w:rPr>
        <w:t xml:space="preserve">Navel</w:t>
      </w:r>
      <w:r>
        <w:rPr>
          <w:rFonts w:ascii="Cambria" w:hAnsi="Cambria"/>
        </w:rPr>
        <w:t xml:space="preserve"> (mesa: Navelina, Navel Late), grupo </w:t>
      </w:r>
      <w:r>
        <w:rPr>
          <w:rFonts w:ascii="Cambria" w:hAnsi="Cambria"/>
          <w:b/>
          <w:bCs/>
        </w:rPr>
        <w:t xml:space="preserve">Sangre</w:t>
      </w:r>
      <w:r>
        <w:rPr>
          <w:rFonts w:ascii="Cambria" w:hAnsi="Cambria"/>
        </w:rPr>
        <w:t xml:space="preserve"> (Sanguinelli) y grupo </w:t>
      </w:r>
      <w:r>
        <w:rPr>
          <w:rFonts w:ascii="Cambria" w:hAnsi="Cambria"/>
          <w:b/>
          <w:bCs/>
        </w:rPr>
        <w:t xml:space="preserve">Blancas</w:t>
      </w:r>
      <w:r>
        <w:rPr>
          <w:rFonts w:ascii="Cambria" w:hAnsi="Cambria"/>
        </w:rPr>
        <w:t xml:space="preserve"> (zumo, bajo en </w:t>
      </w:r>
      <w:r>
        <w:rPr>
          <w:rFonts w:ascii="Cambria" w:hAnsi="Cambria"/>
          <w:b/>
          <w:bCs/>
        </w:rPr>
        <w:t xml:space="preserve">limonina</w:t>
      </w:r>
      <w:r>
        <w:rPr>
          <w:rFonts w:ascii="Cambria" w:hAnsi="Cambria"/>
        </w:rPr>
        <w:t xml:space="preserve">: Salustiana, Valencia Late).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Naranja amarga, limón y pomelo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Naranja amarga</w:t>
      </w:r>
      <w:r>
        <w:rPr>
          <w:rFonts w:ascii="Cambria" w:hAnsi="Cambria"/>
        </w:rPr>
        <w:t xml:space="preserve">: híbrido de *C. maxima* y *C. reticulata*. Mermeladas, aceites esenciales y agua de azahar.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Limón</w:t>
      </w:r>
      <w:r>
        <w:rPr>
          <w:rFonts w:ascii="Cambria" w:hAnsi="Cambria"/>
        </w:rPr>
        <w:t xml:space="preserve">: variedades </w:t>
      </w:r>
      <w:r>
        <w:rPr>
          <w:rFonts w:ascii="Cambria" w:hAnsi="Cambria"/>
          <w:b/>
          <w:bCs/>
        </w:rPr>
        <w:t xml:space="preserve">Verna</w:t>
      </w:r>
      <w:r>
        <w:rPr>
          <w:rFonts w:ascii="Cambria" w:hAnsi="Cambria"/>
        </w:rPr>
        <w:t xml:space="preserve"> (60-70% producción nacional), </w:t>
      </w:r>
      <w:r>
        <w:rPr>
          <w:rFonts w:ascii="Cambria" w:hAnsi="Cambria"/>
          <w:b/>
          <w:bCs/>
        </w:rPr>
        <w:t xml:space="preserve">Fino/Primofiori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Eureka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Pomelo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Marsh Seedless</w:t>
      </w:r>
      <w:r>
        <w:rPr>
          <w:rFonts w:ascii="Cambria" w:hAnsi="Cambria"/>
        </w:rPr>
        <w:t xml:space="preserve"> (más cultivada mundialmente) y </w:t>
      </w:r>
      <w:r>
        <w:rPr>
          <w:rFonts w:ascii="Cambria" w:hAnsi="Cambria"/>
          <w:b/>
          <w:bCs/>
        </w:rPr>
        <w:t xml:space="preserve">Star Ruby</w:t>
      </w:r>
      <w:r>
        <w:rPr>
          <w:rFonts w:ascii="Cambria" w:hAnsi="Cambria"/>
        </w:rPr>
        <w:t xml:space="preserve"> (pulpa roja, licopeno).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Mención a la </w:t>
      </w:r>
      <w:r>
        <w:rPr>
          <w:rFonts w:ascii="Cambria" w:hAnsi="Cambria"/>
          <w:b/>
          <w:bCs/>
        </w:rPr>
        <w:t xml:space="preserve">lima</w:t>
      </w:r>
      <w:r>
        <w:rPr>
          <w:rFonts w:ascii="Cambria" w:hAnsi="Cambria"/>
        </w:rPr>
        <w:t xml:space="preserve"> (Tahití y mexicana/Key lime) como cítrico complementario.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calidad comercial añade valor mediante selección, clasificación, calibrado, acondicionamiento y transporte.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 sobre normas de comercialización de frutas y hortalizas.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Requisitos mínimos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</w:t>
      </w:r>
      <w:r>
        <w:rPr>
          <w:rFonts w:ascii="Cambria" w:hAnsi="Cambria"/>
          <w:b/>
          <w:bCs/>
        </w:rPr>
        <w:t xml:space="preserve">intactos, sanos, limpios</w:t>
      </w:r>
      <w:r>
        <w:rPr>
          <w:rFonts w:ascii="Cambria" w:hAnsi="Cambria"/>
        </w:rPr>
        <w:t xml:space="preserve">, prácticamente exentos de plagas y de humedad u olores anormales.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Deben soportar el transporte y llegar en condiciones satisfactorias al destino.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Madurez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cítricos son frutos </w:t>
      </w:r>
      <w:r>
        <w:rPr>
          <w:rFonts w:ascii="Cambria" w:hAnsi="Cambria"/>
          <w:b/>
          <w:bCs/>
        </w:rPr>
        <w:t xml:space="preserve">no climatéricos</w:t>
      </w:r>
      <w:r>
        <w:rPr>
          <w:rFonts w:ascii="Cambria" w:hAnsi="Cambria"/>
        </w:rPr>
        <w:t xml:space="preserve">: la madurez comercial debe coincidir con la gustativa.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Índices: </w:t>
      </w:r>
      <w:r>
        <w:rPr>
          <w:rFonts w:ascii="Cambria" w:hAnsi="Cambria"/>
          <w:b/>
          <w:bCs/>
        </w:rPr>
        <w:t xml:space="preserve">penetrómetro</w:t>
      </w:r>
      <w:r>
        <w:rPr>
          <w:rFonts w:ascii="Cambria" w:hAnsi="Cambria"/>
        </w:rPr>
        <w:t xml:space="preserve">, cartas colorimétricas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, grados </w:t>
      </w:r>
      <w:r>
        <w:rPr>
          <w:rFonts w:ascii="Cambria" w:hAnsi="Cambria"/>
          <w:b/>
          <w:bCs/>
        </w:rPr>
        <w:t xml:space="preserve">Brix</w:t>
      </w:r>
      <w:r>
        <w:rPr>
          <w:rFonts w:ascii="Cambria" w:hAnsi="Cambria"/>
        </w:rPr>
        <w:t xml:space="preserve">, índice azúcar/acidez, contenido en zumo.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Salud vegetal y humana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Plagas: </w:t>
      </w:r>
      <w:r>
        <w:rPr>
          <w:rFonts w:ascii="Cambria" w:hAnsi="Cambria"/>
          <w:b/>
          <w:bCs/>
        </w:rPr>
        <w:t xml:space="preserve">mosca de la fruta</w:t>
      </w:r>
      <w:r>
        <w:rPr>
          <w:rFonts w:ascii="Cambria" w:hAnsi="Cambria"/>
        </w:rPr>
        <w:t xml:space="preserve"> (*Ceratitis capitata*), </w:t>
      </w:r>
      <w:r>
        <w:rPr>
          <w:rFonts w:ascii="Cambria" w:hAnsi="Cambria"/>
          <w:b/>
          <w:bCs/>
        </w:rPr>
        <w:t xml:space="preserve">trips</w:t>
      </w:r>
      <w:r>
        <w:rPr>
          <w:rFonts w:ascii="Cambria" w:hAnsi="Cambria"/>
        </w:rPr>
        <w:t xml:space="preserve">. Enfermedades: </w:t>
      </w:r>
      <w:r>
        <w:rPr>
          <w:rFonts w:ascii="Cambria" w:hAnsi="Cambria"/>
          <w:b/>
          <w:bCs/>
        </w:rPr>
        <w:t xml:space="preserve">virus de la tristeza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mancha negra</w:t>
      </w:r>
      <w:r>
        <w:rPr>
          <w:rFonts w:ascii="Cambria" w:hAnsi="Cambria"/>
        </w:rPr>
        <w:t xml:space="preserve"> (*Phyllosticta citricarpa*), controlada estrictamente por la UE (caso ante la </w:t>
      </w:r>
      <w:r>
        <w:rPr>
          <w:rFonts w:ascii="Cambria" w:hAnsi="Cambria"/>
          <w:b/>
          <w:bCs/>
        </w:rPr>
        <w:t xml:space="preserve">CIPF/IPPC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Salud humana: ausencia de materias activas prohibidas y respeto de los </w:t>
      </w:r>
      <w:r>
        <w:rPr>
          <w:rFonts w:ascii="Cambria" w:hAnsi="Cambria"/>
          <w:b/>
          <w:bCs/>
        </w:rPr>
        <w:t xml:space="preserve">límites máximos de residuos (LMR)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Política Agrícola Común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Evolución desde 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al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PAC 2023-2027: </w:t>
      </w: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 (planes estratégicos), </w:t>
      </w:r>
      <w:r>
        <w:rPr>
          <w:rFonts w:ascii="Cambria" w:hAnsi="Cambria"/>
          <w:b/>
          <w:bCs/>
        </w:rPr>
        <w:t xml:space="preserve">2021/2116</w:t>
      </w:r>
      <w:r>
        <w:rPr>
          <w:rFonts w:ascii="Cambria" w:hAnsi="Cambria"/>
        </w:rPr>
        <w:t xml:space="preserve"> (financiación) y </w:t>
      </w:r>
      <w:r>
        <w:rPr>
          <w:rFonts w:ascii="Cambria" w:hAnsi="Cambria"/>
          <w:b/>
          <w:bCs/>
        </w:rPr>
        <w:t xml:space="preserve">2021/2117</w:t>
      </w:r>
      <w:r>
        <w:rPr>
          <w:rFonts w:ascii="Cambria" w:hAnsi="Cambria"/>
        </w:rPr>
        <w:t xml:space="preserve"> (modifica la OCM Única).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Ómnibus (UE) 2017/2393</w:t>
      </w:r>
      <w:r>
        <w:rPr>
          <w:rFonts w:ascii="Cambria" w:hAnsi="Cambria"/>
        </w:rPr>
        <w:t xml:space="preserve">: flexibiliza ayudas a jóvenes agricultores (hasta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pago básico) y refuerza organizaciones de productores.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Organización Común de Mercados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2021/2117</w:t>
      </w:r>
      <w:r>
        <w:rPr>
          <w:rFonts w:ascii="Cambria" w:hAnsi="Cambria"/>
        </w:rPr>
        <w:t xml:space="preserve">. Principios de unidad de mercado, solidaridad financiera y preferencia comunitaria.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</w:t>
      </w:r>
      <w:r>
        <w:rPr>
          <w:rFonts w:ascii="Cambria" w:hAnsi="Cambria"/>
          <w:b/>
          <w:bCs/>
        </w:rPr>
        <w:t xml:space="preserve">normas de comercialización</w:t>
      </w:r>
      <w:r>
        <w:rPr>
          <w:rFonts w:ascii="Cambria" w:hAnsi="Cambria"/>
        </w:rPr>
        <w:t xml:space="preserve"> basadas en las normas </w:t>
      </w:r>
      <w:r>
        <w:rPr>
          <w:rFonts w:ascii="Cambria" w:hAnsi="Cambria"/>
          <w:b/>
          <w:bCs/>
        </w:rPr>
        <w:t xml:space="preserve">WP7 (CEPE/UN)</w:t>
      </w:r>
      <w:r>
        <w:rPr>
          <w:rFonts w:ascii="Cambria" w:hAnsi="Cambria"/>
        </w:rPr>
        <w:t xml:space="preserve">, recogidas en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Fomenta </w:t>
      </w:r>
      <w:r>
        <w:rPr>
          <w:rFonts w:ascii="Cambria" w:hAnsi="Cambria"/>
          <w:b/>
          <w:bCs/>
        </w:rPr>
        <w:t xml:space="preserve">Organizaciones de Productores</w:t>
      </w:r>
      <w:r>
        <w:rPr>
          <w:rFonts w:ascii="Cambria" w:hAnsi="Cambria"/>
        </w:rPr>
        <w:t xml:space="preserve"> e Interprofesionales (ej. </w:t>
      </w:r>
      <w:r>
        <w:rPr>
          <w:rFonts w:ascii="Cambria" w:hAnsi="Cambria"/>
          <w:b/>
          <w:bCs/>
        </w:rPr>
        <w:t xml:space="preserve">FRESHUELVA, FEPEX, INTERCITRUS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Régimen de intervención con </w:t>
      </w:r>
      <w:r>
        <w:rPr>
          <w:rFonts w:ascii="Cambria" w:hAnsi="Cambria"/>
          <w:b/>
          <w:bCs/>
        </w:rPr>
        <w:t xml:space="preserve">FEGA/FEAGA</w:t>
      </w:r>
      <w:r>
        <w:rPr>
          <w:rFonts w:ascii="Cambria" w:hAnsi="Cambria"/>
        </w:rPr>
        <w:t xml:space="preserve">. El antiguo Pago Único se sustituye por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 con </w:t>
      </w:r>
      <w:r>
        <w:rPr>
          <w:rFonts w:ascii="Cambria" w:hAnsi="Cambria"/>
          <w:b/>
          <w:bCs/>
        </w:rPr>
        <w:t xml:space="preserve">eco-regímenes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BCAM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CEPE/UN (WP7)</w:t>
      </w:r>
      <w:r>
        <w:rPr>
          <w:rFonts w:ascii="Cambria" w:hAnsi="Cambria"/>
        </w:rPr>
        <w:t xml:space="preserve">, folletos interpretativos de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 y normas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 (voluntarias, protección del consumidor y comercio justo).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: 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(AENOR, comité AEN/CTN 155).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. Control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según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Orden APA/1/2004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DOP/IGP/ETG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con control de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(ej. IGP Clementinas del Ebro, IGP Cítricos valencianos).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Legislación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 (control por la Secretaría de Estado de Comercio), </w:t>
      </w: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 (LMR plaguicidas), </w:t>
      </w: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 (contaminantes), </w:t>
      </w: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 (etiquetado),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 (envases), paquete de higiene </w:t>
      </w:r>
      <w:r>
        <w:rPr>
          <w:rFonts w:ascii="Cambria" w:hAnsi="Cambria"/>
          <w:b/>
          <w:bCs/>
        </w:rPr>
        <w:t xml:space="preserve">(CE) 852 y 853/2004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 (desperdicio alimentario).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 de calidad comercial en comercio exterior: </w:t>
      </w: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ejecutado por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 mundiales: </w:t>
      </w:r>
      <w:r>
        <w:rPr>
          <w:rFonts w:ascii="Cambria" w:hAnsi="Cambria"/>
          <w:b/>
          <w:bCs/>
        </w:rPr>
        <w:t xml:space="preserve">China, Brasil, India, EEUU y México</w:t>
      </w:r>
      <w:r>
        <w:rPr>
          <w:rFonts w:ascii="Cambria" w:hAnsi="Cambria"/>
        </w:rPr>
        <w:t xml:space="preserve">. España entre los 6-7 mayores, primer exportador de cítricos frescos de la UE.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Producción nacional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</w:t>
      </w:r>
      <w:r>
        <w:rPr>
          <w:rFonts w:ascii="Cambria" w:hAnsi="Cambria"/>
          <w:b/>
          <w:bCs/>
        </w:rPr>
        <w:t xml:space="preserve">quinto productor mundial</w:t>
      </w:r>
      <w:r>
        <w:rPr>
          <w:rFonts w:ascii="Cambria" w:hAnsi="Cambria"/>
        </w:rPr>
        <w:t xml:space="preserve">, desde Tarragona hasta Andalucía. </w:t>
      </w:r>
      <w:r>
        <w:rPr>
          <w:rFonts w:ascii="Cambria" w:hAnsi="Cambria"/>
          <w:b/>
          <w:bCs/>
        </w:rPr>
        <w:t xml:space="preserve">Comunidad Valenciana</w:t>
      </w:r>
      <w:r>
        <w:rPr>
          <w:rFonts w:ascii="Cambria" w:hAnsi="Cambria"/>
        </w:rPr>
        <w:t xml:space="preserve"> concentra el </w:t>
      </w:r>
      <w:r>
        <w:rPr>
          <w:rFonts w:ascii="Cambria" w:hAnsi="Cambria"/>
          <w:b/>
          <w:bCs/>
        </w:rPr>
        <w:t xml:space="preserve">70%</w:t>
      </w:r>
      <w:r>
        <w:rPr>
          <w:rFonts w:ascii="Cambria" w:hAnsi="Cambria"/>
        </w:rPr>
        <w:t xml:space="preserve"> de la exportación 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exportó en 2025 </w:t>
      </w:r>
      <w:r>
        <w:rPr>
          <w:rFonts w:ascii="Cambria" w:hAnsi="Cambria"/>
          <w:b/>
          <w:bCs/>
        </w:rPr>
        <w:t xml:space="preserve">3.697,8 millones de euros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3.022.243 toneladas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Naranjas: C. Valenciana, Andalucía y Murcia. Mandarinas: C. Valenciana, Cataluña y Huelva. Limones: Murcia, Alicante y Málaga. Pomelos: Murcia y Andalucía.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Competencia internacional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Marruecos</w:t>
      </w:r>
      <w:r>
        <w:rPr>
          <w:rFonts w:ascii="Cambria" w:hAnsi="Cambria"/>
        </w:rPr>
        <w:t xml:space="preserve"> (mandarinas y naranjas), </w:t>
      </w:r>
      <w:r>
        <w:rPr>
          <w:rFonts w:ascii="Cambria" w:hAnsi="Cambria"/>
          <w:b/>
          <w:bCs/>
        </w:rPr>
        <w:t xml:space="preserve">Israel</w:t>
      </w:r>
      <w:r>
        <w:rPr>
          <w:rFonts w:ascii="Cambria" w:hAnsi="Cambria"/>
        </w:rPr>
        <w:t xml:space="preserve"> (pomelos), </w:t>
      </w:r>
      <w:r>
        <w:rPr>
          <w:rFonts w:ascii="Cambria" w:hAnsi="Cambria"/>
          <w:b/>
          <w:bCs/>
        </w:rPr>
        <w:t xml:space="preserve">Turquía</w:t>
      </w:r>
      <w:r>
        <w:rPr>
          <w:rFonts w:ascii="Cambria" w:hAnsi="Cambria"/>
        </w:rPr>
        <w:t xml:space="preserve"> (satsumas y limones, menores costes), </w:t>
      </w:r>
      <w:r>
        <w:rPr>
          <w:rFonts w:ascii="Cambria" w:hAnsi="Cambria"/>
          <w:b/>
          <w:bCs/>
        </w:rPr>
        <w:t xml:space="preserve">Italia</w:t>
      </w:r>
      <w:r>
        <w:rPr>
          <w:rFonts w:ascii="Cambria" w:hAnsi="Cambria"/>
        </w:rPr>
        <w:t xml:space="preserve"> (mercado interno), </w:t>
      </w:r>
      <w:r>
        <w:rPr>
          <w:rFonts w:ascii="Cambria" w:hAnsi="Cambria"/>
          <w:b/>
          <w:bCs/>
        </w:rPr>
        <w:t xml:space="preserve">Egipto</w:t>
      </w:r>
      <w:r>
        <w:rPr>
          <w:rFonts w:ascii="Cambria" w:hAnsi="Cambria"/>
        </w:rPr>
        <w:t xml:space="preserve"> (naranjas) y </w:t>
      </w:r>
      <w:r>
        <w:rPr>
          <w:rFonts w:ascii="Cambria" w:hAnsi="Cambria"/>
          <w:b/>
          <w:bCs/>
        </w:rPr>
        <w:t xml:space="preserve">EEUU</w:t>
      </w:r>
      <w:r>
        <w:rPr>
          <w:rFonts w:ascii="Cambria" w:hAnsi="Cambria"/>
        </w:rPr>
        <w:t xml:space="preserve"> (pomelos, competidor en Japón).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países del </w:t>
      </w:r>
      <w:r>
        <w:rPr>
          <w:rFonts w:ascii="Cambria" w:hAnsi="Cambria"/>
          <w:b/>
          <w:bCs/>
        </w:rPr>
        <w:t xml:space="preserve">Hemisferio Sur</w:t>
      </w:r>
      <w:r>
        <w:rPr>
          <w:rFonts w:ascii="Cambria" w:hAnsi="Cambria"/>
        </w:rPr>
        <w:t xml:space="preserve"> no compiten directamente por desfase de campaña.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Comercio exterior 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cítricos suponen el </w:t>
      </w:r>
      <w:r>
        <w:rPr>
          <w:rFonts w:ascii="Cambria" w:hAnsi="Cambria"/>
          <w:b/>
          <w:bCs/>
        </w:rPr>
        <w:t xml:space="preserve">31,0%</w:t>
      </w:r>
      <w:r>
        <w:rPr>
          <w:rFonts w:ascii="Cambria" w:hAnsi="Cambria"/>
        </w:rPr>
        <w:t xml:space="preserve"> de las exportaciones frutícolas españolas (antes ~35%).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UE concentra el 86,4%</w:t>
      </w:r>
      <w:r>
        <w:rPr>
          <w:rFonts w:ascii="Cambria" w:hAnsi="Cambria"/>
        </w:rPr>
        <w:t xml:space="preserve"> de las exportaciones. Destacan Alemania, Francia, Reino Unido y Países Bajos, con fuerte crecimiento en Portugal, Rumanía y Dinamarca (</w:t>
      </w:r>
      <w:r>
        <w:rPr>
          <w:rFonts w:ascii="Cambria" w:hAnsi="Cambria"/>
          <w:b/>
          <w:bCs/>
        </w:rPr>
        <w:t xml:space="preserve">+20%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Descensos en Canadá (</w:t>
      </w:r>
      <w:r>
        <w:rPr>
          <w:rFonts w:ascii="Cambria" w:hAnsi="Cambria"/>
          <w:b/>
          <w:bCs/>
        </w:rPr>
        <w:t xml:space="preserve">-39,1%</w:t>
      </w:r>
      <w:r>
        <w:rPr>
          <w:rFonts w:ascii="Cambria" w:hAnsi="Cambria"/>
        </w:rPr>
        <w:t xml:space="preserve">), EEUU (</w:t>
      </w:r>
      <w:r>
        <w:rPr>
          <w:rFonts w:ascii="Cambria" w:hAnsi="Cambria"/>
          <w:b/>
          <w:bCs/>
        </w:rPr>
        <w:t xml:space="preserve">-76%</w:t>
      </w:r>
      <w:r>
        <w:rPr>
          <w:rFonts w:ascii="Cambria" w:hAnsi="Cambria"/>
        </w:rPr>
        <w:t xml:space="preserve">) y China (</w:t>
      </w:r>
      <w:r>
        <w:rPr>
          <w:rFonts w:ascii="Cambria" w:hAnsi="Cambria"/>
          <w:b/>
          <w:bCs/>
        </w:rPr>
        <w:t xml:space="preserve">-66%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Estructura: </w:t>
      </w:r>
      <w:r>
        <w:rPr>
          <w:rFonts w:ascii="Cambria" w:hAnsi="Cambria"/>
          <w:b/>
          <w:bCs/>
        </w:rPr>
        <w:t xml:space="preserve">naranjas</w:t>
      </w:r>
      <w:r>
        <w:rPr>
          <w:rFonts w:ascii="Cambria" w:hAnsi="Cambria"/>
        </w:rPr>
        <w:t xml:space="preserve"> 33,5% valor/42,4% volumen, </w:t>
      </w:r>
      <w:r>
        <w:rPr>
          <w:rFonts w:ascii="Cambria" w:hAnsi="Cambria"/>
          <w:b/>
          <w:bCs/>
        </w:rPr>
        <w:t xml:space="preserve">mandarinas</w:t>
      </w:r>
      <w:r>
        <w:rPr>
          <w:rFonts w:ascii="Cambria" w:hAnsi="Cambria"/>
        </w:rPr>
        <w:t xml:space="preserve"> 33,8% valor/38,5% volumen (clementinas, ~70%), </w:t>
      </w:r>
      <w:r>
        <w:rPr>
          <w:rFonts w:ascii="Cambria" w:hAnsi="Cambria"/>
          <w:b/>
          <w:bCs/>
        </w:rPr>
        <w:t xml:space="preserve">limones</w:t>
      </w:r>
      <w:r>
        <w:rPr>
          <w:rFonts w:ascii="Cambria" w:hAnsi="Cambria"/>
        </w:rPr>
        <w:t xml:space="preserve"> 25,5% valor/21,1% volumen, </w:t>
      </w:r>
      <w:r>
        <w:rPr>
          <w:rFonts w:ascii="Cambria" w:hAnsi="Cambria"/>
          <w:b/>
          <w:bCs/>
        </w:rPr>
        <w:t xml:space="preserve">pomelos</w:t>
      </w:r>
      <w:r>
        <w:rPr>
          <w:rFonts w:ascii="Cambria" w:hAnsi="Cambria"/>
        </w:rPr>
        <w:t xml:space="preserve"> 2,3% del valor.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desde </w:t>
      </w:r>
      <w:r>
        <w:rPr>
          <w:rFonts w:ascii="Cambria" w:hAnsi="Cambria"/>
          <w:b/>
          <w:bCs/>
        </w:rPr>
        <w:t xml:space="preserve">Sudáfrica, Marruecos, Argentina, Egipto, Perú, Brasil</w:t>
      </w:r>
      <w:r>
        <w:rPr>
          <w:rFonts w:ascii="Cambria" w:hAnsi="Cambria"/>
        </w:rPr>
        <w:t xml:space="preserve"> y de socios comunitarios como Portugal.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citrícola es estratégico en la balanza comercial agroalimentaria española, apoyado en especialización, calidad y orientación exportadora.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UE-Mercosur</w:t>
      </w:r>
      <w:r>
        <w:rPr>
          <w:rFonts w:ascii="Cambria" w:hAnsi="Cambria"/>
        </w:rPr>
        <w:t xml:space="preserve"> puede intensificar la competencia de </w:t>
      </w:r>
      <w:r>
        <w:rPr>
          <w:rFonts w:ascii="Cambria" w:hAnsi="Cambria"/>
          <w:b/>
          <w:bCs/>
        </w:rPr>
        <w:t xml:space="preserve">Brasil</w:t>
      </w:r>
      <w:r>
        <w:rPr>
          <w:rFonts w:ascii="Cambria" w:hAnsi="Cambria"/>
        </w:rPr>
        <w:t xml:space="preserve"> (zumo de naranja) y </w:t>
      </w:r>
      <w:r>
        <w:rPr>
          <w:rFonts w:ascii="Cambria" w:hAnsi="Cambria"/>
          <w:b/>
          <w:bCs/>
        </w:rPr>
        <w:t xml:space="preserve">Argentina</w:t>
      </w:r>
      <w:r>
        <w:rPr>
          <w:rFonts w:ascii="Cambria" w:hAnsi="Cambria"/>
        </w:rPr>
        <w:t xml:space="preserve"> (limones), coincidiendo parcialmente con los calendarios de Valencia, Murcia y Andalucía.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Ello exigirá reforzar la diferenciación, calidad, innovación y sostenibilidad del sector.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2 – Sector de cítricos.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