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industrialización de los años 60 dejó una estructura productiva sesgada hacia sectores tradicionales intensivos en mano de obra, con dependencia energética y tecnológica y elevado peso de las </w:t>
      </w:r>
      <w:r>
        <w:rPr>
          <w:rFonts w:ascii="Cambria" w:hAnsi="Cambria"/>
          <w:b/>
          <w:bCs/>
        </w:rPr>
        <w:t xml:space="preserve">pymes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entrada en la </w:t>
      </w:r>
      <w:r>
        <w:rPr>
          <w:rFonts w:ascii="Cambria" w:hAnsi="Cambria"/>
          <w:b/>
          <w:bCs/>
        </w:rPr>
        <w:t xml:space="preserve">CEE en 1986</w:t>
      </w:r>
      <w:r>
        <w:rPr>
          <w:rFonts w:ascii="Cambria" w:hAnsi="Cambria"/>
        </w:rPr>
        <w:t xml:space="preserve"> obligó a completar la reconversión industrial y adaptarse al Mercado Único.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representa el </w:t>
      </w:r>
      <w:r>
        <w:rPr>
          <w:rFonts w:ascii="Cambria" w:hAnsi="Cambria"/>
          <w:b/>
          <w:bCs/>
        </w:rPr>
        <w:t xml:space="preserve">14,2 %</w:t>
      </w:r>
      <w:r>
        <w:rPr>
          <w:rFonts w:ascii="Cambria" w:hAnsi="Cambria"/>
        </w:rPr>
        <w:t xml:space="preserve"> del PIB, el </w:t>
      </w:r>
      <w:r>
        <w:rPr>
          <w:rFonts w:ascii="Cambria" w:hAnsi="Cambria"/>
          <w:b/>
          <w:bCs/>
        </w:rPr>
        <w:t xml:space="preserve">15,6 %</w:t>
      </w:r>
      <w:r>
        <w:rPr>
          <w:rFonts w:ascii="Cambria" w:hAnsi="Cambria"/>
        </w:rPr>
        <w:t xml:space="preserve"> del VAB y el </w:t>
      </w:r>
      <w:r>
        <w:rPr>
          <w:rFonts w:ascii="Cambria" w:hAnsi="Cambria"/>
          <w:b/>
          <w:bCs/>
        </w:rPr>
        <w:t xml:space="preserve">11,4 %</w:t>
      </w:r>
      <w:r>
        <w:rPr>
          <w:rFonts w:ascii="Cambria" w:hAnsi="Cambria"/>
        </w:rPr>
        <w:t xml:space="preserve"> del empleo, según el Informe Anual 2025 de la SG de Estudios, Análisis y Planes de Actuación del </w:t>
      </w:r>
      <w:r>
        <w:rPr>
          <w:rFonts w:ascii="Cambria" w:hAnsi="Cambria"/>
          <w:b/>
          <w:bCs/>
        </w:rPr>
        <w:t xml:space="preserve">MINTUR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manufacturas de consumo engloba textil y confección, calzado, equipos de protección individual (EPI), juguetes y pequeño material eléctrico.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 (2025), las exportaciones del sector suponen en torno al </w:t>
      </w:r>
      <w:r>
        <w:rPr>
          <w:rFonts w:ascii="Cambria" w:hAnsi="Cambria"/>
          <w:b/>
          <w:bCs/>
        </w:rPr>
        <w:t xml:space="preserve">9,1 %</w:t>
      </w:r>
      <w:r>
        <w:rPr>
          <w:rFonts w:ascii="Cambria" w:hAnsi="Cambria"/>
        </w:rPr>
        <w:t xml:space="preserve"> del total y las importaciones el </w:t>
      </w:r>
      <w:r>
        <w:rPr>
          <w:rFonts w:ascii="Cambria" w:hAnsi="Cambria"/>
          <w:b/>
          <w:bCs/>
        </w:rPr>
        <w:t xml:space="preserve">11,4 %</w:t>
      </w:r>
      <w:r>
        <w:rPr>
          <w:rFonts w:ascii="Cambria" w:hAnsi="Cambria"/>
        </w:rPr>
        <w:t xml:space="preserve">, con déficit comercial estructural.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LEGISLACIÓN GENERAL DEL SECTOR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 desarrollo normativo corresponde a la SG de Calidad y Seguridad Industrial del </w:t>
      </w:r>
      <w:r>
        <w:rPr>
          <w:rFonts w:ascii="Cambria" w:hAnsi="Cambria"/>
          <w:b/>
          <w:bCs/>
        </w:rPr>
        <w:t xml:space="preserve">MINTUR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</w:t>
      </w:r>
      <w:r>
        <w:rPr>
          <w:rFonts w:ascii="Cambria" w:hAnsi="Cambria"/>
        </w:rPr>
        <w:t xml:space="preserve">, de Industria, adapta la actividad industrial a la normativa de la UE y al Mercado Único.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559/2010</w:t>
      </w:r>
      <w:r>
        <w:rPr>
          <w:rFonts w:ascii="Cambria" w:hAnsi="Cambria"/>
        </w:rPr>
        <w:t xml:space="preserve">, aprueba el Reglamento del Registro Integrado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, aprueba el Reglamento de la Infraestructura para la Calidad y la Seguridad Industrial, y reconoce a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como organismo de normalización y 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como entidad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de etiquetado, presentación y publicidad de productos industriales sin normativa específica, exige denominación, composición, plazo de uso, contenido neto, lote, identificación de la empresa, origen y alérgenos, entre otros datos.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1406/1989</w:t>
      </w:r>
      <w:r>
        <w:rPr>
          <w:rFonts w:ascii="Cambria" w:hAnsi="Cambria"/>
        </w:rPr>
        <w:t xml:space="preserve">, limita sustancias peligrosas (benceno, amianto, dimetilfumarato, pentaclorofenol) y prohíbe termómetros de mercurio desde 2009.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sobre control de importación de productos por seguridad, atribuye al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(a través de las Direcciones Territoriales y Provinciales de Comercio) el control de conformidad previo al despacho aduanero, a partir de los riesgos detectados por </w:t>
      </w:r>
      <w:r>
        <w:rPr>
          <w:rFonts w:ascii="Cambria" w:hAnsi="Cambria"/>
          <w:b/>
          <w:bCs/>
        </w:rPr>
        <w:t xml:space="preserve">RAPEX</w:t>
      </w:r>
      <w:r>
        <w:rPr>
          <w:rFonts w:ascii="Cambria" w:hAnsi="Cambria"/>
        </w:rPr>
        <w:t xml:space="preserve">.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fija la lista de productos sujetos (drones, puericultura, textil, calzado, juguetes, EPI, pequeño material eléctrico, muebles y derivados de madera).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993/2022</w:t>
      </w:r>
      <w:r>
        <w:rPr>
          <w:rFonts w:ascii="Cambria" w:hAnsi="Cambria"/>
        </w:rPr>
        <w:t xml:space="preserve"> define el control SOIVRE a aparatos eléctricos y electrónicos en materia de </w:t>
      </w:r>
      <w:r>
        <w:rPr>
          <w:rFonts w:ascii="Cambria" w:hAnsi="Cambria"/>
          <w:b/>
          <w:bCs/>
        </w:rPr>
        <w:t xml:space="preserve">RoHS</w:t>
      </w:r>
      <w:r>
        <w:rPr>
          <w:rFonts w:ascii="Cambria" w:hAnsi="Cambria"/>
        </w:rPr>
        <w:t xml:space="preserve"> y del Registro Integrado Industrial de AEE, pilas y acumuladores.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 fija requisitos de acreditación y principios del marcado CE, exigido a productos de directivas de Nuevo Enfoque (EPI, juguetes, pequeño material eléctrico). Sustituido en materia de vigilancia de mercado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, de vigilancia del mercado, aclara los poderes de las Autoridades de Vigilancia del Mercado (AVM) y regula los controles a productos de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, sobre reconocimiento mutuo de mercancías comercializadas legalmente en otro Estado miembro.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, marco común de comercialización, base del Nuevo Marco Legislativo (NML).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de Seguridad General de Productos (RGSP), aplicable directamente desde el </w:t>
      </w:r>
      <w:r>
        <w:rPr>
          <w:rFonts w:ascii="Cambria" w:hAnsi="Cambria"/>
          <w:b/>
          <w:bCs/>
        </w:rPr>
        <w:t xml:space="preserve">13 de diciembre de 2024</w:t>
      </w:r>
      <w:r>
        <w:rPr>
          <w:rFonts w:ascii="Cambria" w:hAnsi="Cambria"/>
        </w:rPr>
        <w:t xml:space="preserve">, deja sin efecto autónomo al Real Decreto 1801/2003. Refuerza el sistema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 (sustituto de RAPEX) y las obligaciones de los mercados en línea.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 regula sustancias y mezclas químicas mediante su Anexo XVII y crea 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2023/2411</w:t>
      </w:r>
      <w:r>
        <w:rPr>
          <w:rFonts w:ascii="Cambria" w:hAnsi="Cambria"/>
        </w:rPr>
        <w:t xml:space="preserve">, de indicaciones geográficas de productos artesanales e industriales no alimentarios, aplicable desde 2025.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SUBSECTOR DEL JUGUETE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Definición y ámbito de aplicación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en transición: la </w:t>
      </w:r>
      <w:r>
        <w:rPr>
          <w:rFonts w:ascii="Cambria" w:hAnsi="Cambria"/>
          <w:b/>
          <w:bCs/>
        </w:rPr>
        <w:t xml:space="preserve">Directiva 2009/48/CE</w:t>
      </w:r>
      <w:r>
        <w:rPr>
          <w:rFonts w:ascii="Cambria" w:hAnsi="Cambria"/>
        </w:rPr>
        <w:t xml:space="preserve"> (transpuesta por el </w:t>
      </w:r>
      <w:r>
        <w:rPr>
          <w:rFonts w:ascii="Cambria" w:hAnsi="Cambria"/>
          <w:b/>
          <w:bCs/>
        </w:rPr>
        <w:t xml:space="preserve">Real Decreto 1205/2011</w:t>
      </w:r>
      <w:r>
        <w:rPr>
          <w:rFonts w:ascii="Cambria" w:hAnsi="Cambria"/>
        </w:rPr>
        <w:t xml:space="preserve">) convive con el ya aprobado </w:t>
      </w: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, plenamente aplicable desde el </w:t>
      </w:r>
      <w:r>
        <w:rPr>
          <w:rFonts w:ascii="Cambria" w:hAnsi="Cambria"/>
          <w:b/>
          <w:bCs/>
        </w:rPr>
        <w:t xml:space="preserve">1 de agosto de 2030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Juguete es todo producto diseñado, exclusivamente o no, para el juego de niños menores de </w:t>
      </w:r>
      <w:r>
        <w:rPr>
          <w:rFonts w:ascii="Cambria" w:hAnsi="Cambria"/>
          <w:b/>
          <w:bCs/>
        </w:rPr>
        <w:t xml:space="preserve">14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Elementos clave: doble uso no exime de las exigencias de seguridad, prevalece el uso esperado sobre el declarado por el fabricante, y los 14 años marcan el límite de protección al consumidor.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Quedan fuera decoración navideña, modelos a escala para adultos, equipamiento deportivo, puzles grandes, fuegos artificiales y videojuegos.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Indicadores para clasificar un producto como juguete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Valor de juego (el más importante), tamaño o talla, punto de venta, nivel de detalle de fabricación, publicidad y menciones en el envase, operador que lo introduce en el mercado y valor del producto.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AEFJ</w:t>
      </w:r>
      <w:r>
        <w:rPr>
          <w:rFonts w:ascii="Cambria" w:hAnsi="Cambria"/>
        </w:rPr>
        <w:t xml:space="preserve">, el sector ocupa unos </w:t>
      </w:r>
      <w:r>
        <w:rPr>
          <w:rFonts w:ascii="Cambria" w:hAnsi="Cambria"/>
          <w:b/>
          <w:bCs/>
        </w:rPr>
        <w:t xml:space="preserve">4.800</w:t>
      </w:r>
      <w:r>
        <w:rPr>
          <w:rFonts w:ascii="Cambria" w:hAnsi="Cambria"/>
        </w:rPr>
        <w:t xml:space="preserve"> trabajadores directos y más de </w:t>
      </w:r>
      <w:r>
        <w:rPr>
          <w:rFonts w:ascii="Cambria" w:hAnsi="Cambria"/>
          <w:b/>
          <w:bCs/>
        </w:rPr>
        <w:t xml:space="preserve">20.000</w:t>
      </w:r>
      <w:r>
        <w:rPr>
          <w:rFonts w:ascii="Cambria" w:hAnsi="Cambria"/>
        </w:rPr>
        <w:t xml:space="preserve"> indirectos, muy atomizado en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concentrada en Comunidad Valenciana y Cataluña (</w:t>
      </w:r>
      <w:r>
        <w:rPr>
          <w:rFonts w:ascii="Cambria" w:hAnsi="Cambria"/>
          <w:b/>
          <w:bCs/>
        </w:rPr>
        <w:t xml:space="preserve">75 %</w:t>
      </w:r>
      <w:r>
        <w:rPr>
          <w:rFonts w:ascii="Cambria" w:hAnsi="Cambria"/>
        </w:rPr>
        <w:t xml:space="preserve">), con Alicante como principal provincia (Grupo Famosa).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comercial de más de </w:t>
      </w:r>
      <w:r>
        <w:rPr>
          <w:rFonts w:ascii="Cambria" w:hAnsi="Cambria"/>
          <w:b/>
          <w:bCs/>
        </w:rPr>
        <w:t xml:space="preserve">1.500 M€</w:t>
      </w:r>
      <w:r>
        <w:rPr>
          <w:rFonts w:ascii="Cambria" w:hAnsi="Cambria"/>
        </w:rPr>
        <w:t xml:space="preserve"> en 2025 (DATACOMEX). Exportaciones a Francia, Italia, Portugal, México y EEUU. Importaciones dominadas por China.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Fuerte estacionalidad: </w:t>
      </w:r>
      <w:r>
        <w:rPr>
          <w:rFonts w:ascii="Cambria" w:hAnsi="Cambria"/>
          <w:b/>
          <w:bCs/>
        </w:rPr>
        <w:t xml:space="preserve">70-80 %</w:t>
      </w:r>
      <w:r>
        <w:rPr>
          <w:rFonts w:ascii="Cambria" w:hAnsi="Cambria"/>
        </w:rPr>
        <w:t xml:space="preserve"> del consumo en noviembre y diciembre.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Tendencias: juguetes STEM, educación emocional, sostenibilidad, mercado silver y juguetes conectados. El </w:t>
      </w:r>
      <w:r>
        <w:rPr>
          <w:rFonts w:ascii="Cambria" w:hAnsi="Cambria"/>
          <w:b/>
          <w:bCs/>
        </w:rPr>
        <w:t xml:space="preserve">ICEX</w:t>
      </w:r>
      <w:r>
        <w:rPr>
          <w:rFonts w:ascii="Cambria" w:hAnsi="Cambria"/>
        </w:rPr>
        <w:t xml:space="preserve"> impulsa la internacionalización mediante Toys from Spain en los mercados PASE.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2009/48/CE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1205/2011</w:t>
      </w:r>
      <w:r>
        <w:rPr>
          <w:rFonts w:ascii="Cambria" w:hAnsi="Cambria"/>
        </w:rPr>
        <w:t xml:space="preserve">, vigentes, armonizan requisitos de seguridad y marcado CE. Limitan sustancias CMR (autorizado únicamente el níquel) y fijan valores límite para menores de 36 meses.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, sobre seguridad de los juguetes, introduce el Pasaporte Digital de Producto (DPP), prohibiciones más estrictas de sustancias químicas y requisitos de ciberseguridad para juguetes conectados.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, limita los ftalatos al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 en peso del material plastificado susceptible de introducirse en la boca.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, refuerza controles del mercado en línea de juguetes importados.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Legislativo 1/2007 (TRLGDCU)</w:t>
      </w:r>
      <w:r>
        <w:rPr>
          <w:rFonts w:ascii="Cambria" w:hAnsi="Cambria"/>
        </w:rPr>
        <w:t xml:space="preserve">, responsabiliza a fabricantes e importadores de la seguridad del juguete en toda la cadena comercial.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3.5. Normas armonizadas (inspección SOIVRE)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71-1</w:t>
      </w:r>
      <w:r>
        <w:rPr>
          <w:rFonts w:ascii="Cambria" w:hAnsi="Cambria"/>
        </w:rPr>
        <w:t xml:space="preserve">, propiedades mecánicas y físicas, norma fundamental de inspección.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71-2</w:t>
      </w:r>
      <w:r>
        <w:rPr>
          <w:rFonts w:ascii="Cambria" w:hAnsi="Cambria"/>
        </w:rPr>
        <w:t xml:space="preserve">, inflamabilidad, no sujeta a inspección directa del SOIVRE.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71-3</w:t>
      </w:r>
      <w:r>
        <w:rPr>
          <w:rFonts w:ascii="Cambria" w:hAnsi="Cambria"/>
        </w:rPr>
        <w:t xml:space="preserve">, migración de metales pesados.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62115</w:t>
      </w:r>
      <w:r>
        <w:rPr>
          <w:rFonts w:ascii="Cambria" w:hAnsi="Cambria"/>
        </w:rPr>
        <w:t xml:space="preserve">, seguridad eléctrica de juguetes.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60825-1</w:t>
      </w:r>
      <w:r>
        <w:rPr>
          <w:rFonts w:ascii="Cambria" w:hAnsi="Cambria"/>
        </w:rPr>
        <w:t xml:space="preserve">, seguridad de productos láser.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15649-3</w:t>
      </w:r>
      <w:r>
        <w:rPr>
          <w:rFonts w:ascii="Cambria" w:hAnsi="Cambria"/>
        </w:rPr>
        <w:t xml:space="preserve">, artículos de recreo flotantes.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3.6. Casos particulares de etiquetado y marcado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Peluches: no pueden llevar indicación de edad con riesgo explícito para menores de 3 años.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Proyectiles con ventosa: longitud superior a </w:t>
      </w:r>
      <w:r>
        <w:rPr>
          <w:rFonts w:ascii="Cambria" w:hAnsi="Cambria"/>
          <w:b/>
          <w:bCs/>
        </w:rPr>
        <w:t xml:space="preserve">57 mm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Imanes: prohibidos para menores de 36 meses. Para mayores, si son pieza pequeña, flujo magnético inferior a </w:t>
      </w:r>
      <w:r>
        <w:rPr>
          <w:rFonts w:ascii="Cambria" w:hAnsi="Cambria"/>
          <w:b/>
          <w:bCs/>
        </w:rPr>
        <w:t xml:space="preserve">50 kg²/mm²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Monopatines: se consideran juguete solo para niños de peso inferior a </w:t>
      </w:r>
      <w:r>
        <w:rPr>
          <w:rFonts w:ascii="Cambria" w:hAnsi="Cambria"/>
          <w:b/>
          <w:bCs/>
        </w:rPr>
        <w:t xml:space="preserve">20 kg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3.7. Inspección en frontera y ensayos de laboratorio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 obligatorio: identificación y dirección de fabricante e importador, referencia del modelo, advertencias de seguridad, instrucciones en castellano y marcado CE visible.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Ensayos: ftalatos (máximo 0,1 %, con laboratorio acreditado en Murcia), migración de metales pesados (UNE-EN 71-3), sustancias CMR (Anexo II de la Directiva 2009/48/CE) y propiedades mecánicas y físicas (UNE-EN 71-1).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SUBSECTOR DEL PEQUEÑO MATERIAL ELÉCTRICO (PME)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Descripción y productos controlados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 centra el control en productos sensibles para el consumidor doméstico, ante los riesgos de electrocución, incendio o sobrecalentamiento y el crecimiento del comercio electrónico.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controlados por el SOIVRE: interruptores, seccionadores y conmutadores domésticos, portalámparas Edison, clavijas y tomas de corriente, adaptadores, regletas de conexión, cables prolongadores y enrollables (hasta 1.000 V), guirnaldas eléctricas navideñas.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eléctrica europea es líder mundial, seguida de EEUU y Japón. En la UE destacan Alemania, Francia e Italia. En España se concentra en Cataluña, País Vasco y Aragón, representada por la </w:t>
      </w:r>
      <w:r>
        <w:rPr>
          <w:rFonts w:ascii="Cambria" w:hAnsi="Cambria"/>
          <w:b/>
          <w:bCs/>
        </w:rPr>
        <w:t xml:space="preserve">AFME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dirigidas a la UE (Francia, Alemania, Italia) con presencia creciente en Latinoamérica. Importaciones dominadas por China, con déficit estructural.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Impulso de la demanda por la transición energética, la electrificación, la recarga de vehículos eléctricos, las instalaciones renovables, las redes inteligentes y la domótica.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187/2016</w:t>
      </w:r>
      <w:r>
        <w:rPr>
          <w:rFonts w:ascii="Cambria" w:hAnsi="Cambria"/>
        </w:rPr>
        <w:t xml:space="preserve">, de Baja Tensión, transpone la Directiva 2014/35/UE (LVD) y acredita la seguridad eléctrica mediante marcado CE, excluyendo bases, clavijas y adaptadores.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2011/65/UE (RoHS)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219/2013</w:t>
      </w:r>
      <w:r>
        <w:rPr>
          <w:rFonts w:ascii="Cambria" w:hAnsi="Cambria"/>
        </w:rPr>
        <w:t xml:space="preserve">, limita sustancias peligrosas: plomo y mercurio (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), cadmio (</w:t>
      </w:r>
      <w:r>
        <w:rPr>
          <w:rFonts w:ascii="Cambria" w:hAnsi="Cambria"/>
          <w:b/>
          <w:bCs/>
        </w:rPr>
        <w:t xml:space="preserve">0,01 %</w:t>
      </w:r>
      <w:r>
        <w:rPr>
          <w:rFonts w:ascii="Cambria" w:hAnsi="Cambria"/>
        </w:rPr>
        <w:t xml:space="preserve">), entre otras, acreditadas mediante marcado CE.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27/2021</w:t>
      </w:r>
      <w:r>
        <w:rPr>
          <w:rFonts w:ascii="Cambria" w:hAnsi="Cambria"/>
        </w:rPr>
        <w:t xml:space="preserve">, asigna al SOIVRE el control a la importación de AEE y de pilas y acumuladores.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842/2002</w:t>
      </w:r>
      <w:r>
        <w:rPr>
          <w:rFonts w:ascii="Cambria" w:hAnsi="Cambria"/>
        </w:rPr>
        <w:t xml:space="preserve">, Reglamento Electrotécnico para Baja Tensión (REBT).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110/2015 (RAEE)</w:t>
      </w:r>
      <w:r>
        <w:rPr>
          <w:rFonts w:ascii="Cambria" w:hAnsi="Cambria"/>
        </w:rPr>
        <w:t xml:space="preserve">, transpone la Directiva 2012/19/UE, sobre recogida, tratamiento y reciclaje de residuos eléctricos y electrónicos.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, refuerza obligaciones de los mercados en línea frente a material eléctrico no conforme.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, marco de diseño ecológico que permitirá exigir durabilidad, reparabilidad y contenido reciclado mediante actos delegados.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Normas armonizadas (inspección SOIVRE)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60598-1</w:t>
      </w:r>
      <w:r>
        <w:rPr>
          <w:rFonts w:ascii="Cambria" w:hAnsi="Cambria"/>
        </w:rPr>
        <w:t xml:space="preserve">, luminarias. </w:t>
      </w:r>
      <w:r>
        <w:rPr>
          <w:rFonts w:ascii="Cambria" w:hAnsi="Cambria"/>
          <w:b/>
          <w:bCs/>
        </w:rPr>
        <w:t xml:space="preserve">UNE-EN 60238</w:t>
      </w:r>
      <w:r>
        <w:rPr>
          <w:rFonts w:ascii="Cambria" w:hAnsi="Cambria"/>
        </w:rPr>
        <w:t xml:space="preserve">, portalámparas Edison. </w:t>
      </w:r>
      <w:r>
        <w:rPr>
          <w:rFonts w:ascii="Cambria" w:hAnsi="Cambria"/>
          <w:b/>
          <w:bCs/>
        </w:rPr>
        <w:t xml:space="preserve">UNE-EN 60998</w:t>
      </w:r>
      <w:r>
        <w:rPr>
          <w:rFonts w:ascii="Cambria" w:hAnsi="Cambria"/>
        </w:rPr>
        <w:t xml:space="preserve">, dispositivos de conexión. </w:t>
      </w:r>
      <w:r>
        <w:rPr>
          <w:rFonts w:ascii="Cambria" w:hAnsi="Cambria"/>
          <w:b/>
          <w:bCs/>
        </w:rPr>
        <w:t xml:space="preserve">UNE-EN 61058</w:t>
      </w:r>
      <w:r>
        <w:rPr>
          <w:rFonts w:ascii="Cambria" w:hAnsi="Cambria"/>
        </w:rPr>
        <w:t xml:space="preserve">, interruptores.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 20315:2017</w:t>
      </w:r>
      <w:r>
        <w:rPr>
          <w:rFonts w:ascii="Cambria" w:hAnsi="Cambria"/>
        </w:rPr>
        <w:t xml:space="preserve">, norma nacional para bases, clavijas y adaptadores, excluidos de la Directiva de Baja Tensión, complementada por el Reglamento (UE) 2023/988. Su marcado CE deriva únicamente de RoHS.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4.5. Inspección en frontera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preventivo, documental y físico, que verifica correspondencia mercancía-documentación, identificación del operador, trazabilidad del modelo, marcado y disponibilidad de documentación técnica.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Coexisten dos marcados CE de naturaleza distinta: por Baja Tensión (seguridad eléctrica) y por RoHS (restricción de sustancias), aplicable este último a todos los AEE.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sujetos a Baja Tensión (prolongadores, interruptores, regletas, portalámparas, guirnaldas): exigen Declaración UE de Conformidad e informe de ensayo de laboratorio acreditado.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excluidos (bases, clavijas, adaptadores): su seguridad se acredita mediante </w:t>
      </w:r>
      <w:r>
        <w:rPr>
          <w:rFonts w:ascii="Cambria" w:hAnsi="Cambria"/>
          <w:b/>
          <w:bCs/>
        </w:rPr>
        <w:t xml:space="preserve">UNE 20315:2017</w:t>
      </w:r>
      <w:r>
        <w:rPr>
          <w:rFonts w:ascii="Cambria" w:hAnsi="Cambria"/>
        </w:rPr>
        <w:t xml:space="preserve"> y el Reglamento (UE) 2023/988, sin que su marcado CE por RoHS ampare la seguridad eléctrica.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RAEE: verifica la inscripción del importador o fabricante en el Registro Integrado Industrial (RII) con número RAEE y la presencia del símbolo de recogida selectiva. Es una obligación medioambiental y registral, sin marcado CE asociado.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4.6. Ensayos de laboratorio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Dimensiones, líneas de fuga y distancias de aislamiento, características de los cables, puesta a tierra, resistencia al calor y resistencia mecánica (compresión, tracción, choque a baja temperatura y caída).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pequeño material eléctrico y los juguetes son categorías de consumo con especial relevancia para la seguridad del usuario, lo que justifica controles específicos en frontera.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actúa como barrera de protección del mercado interior mediante revisión documental, inspección física y ensayos de laboratorio.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amplía el ámbito de actuación del SOIVRE a nuevas categorías (puericultura, prendas infantiles, gafas de sol, drones recreativos, encendedores), consolidando un modelo de inspección basado en la prevención del riesgo.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crecimiento del comercio electrónico reforzará el papel del SOIVRE como garante de que solo accedan al mercado productos seguros y conformes con la normativa de la UE.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20 – Sector de manufacturas de consumo (II): Juguetes. Pequeño material eléctrico.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