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servicios es el mayor generador de empleo mundial y el segmento del comercio internacional más dinámico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Correlación entre desarrollo y peso de los servicios: </w:t>
      </w:r>
      <w:r>
        <w:rPr>
          <w:rFonts w:ascii="Cambria" w:hAnsi="Cambria"/>
          <w:b/>
          <w:bCs/>
        </w:rPr>
        <w:t xml:space="preserve">70 %</w:t>
      </w:r>
      <w:r>
        <w:rPr>
          <w:rFonts w:ascii="Cambria" w:hAnsi="Cambria"/>
        </w:rPr>
        <w:t xml:space="preserve"> de la producción en economías avanzadas, </w:t>
      </w:r>
      <w:r>
        <w:rPr>
          <w:rFonts w:ascii="Cambria" w:hAnsi="Cambria"/>
          <w:b/>
          <w:bCs/>
        </w:rPr>
        <w:t xml:space="preserve">55 %</w:t>
      </w:r>
      <w:r>
        <w:rPr>
          <w:rFonts w:ascii="Cambria" w:hAnsi="Cambria"/>
        </w:rPr>
        <w:t xml:space="preserve"> en las de renta media y </w:t>
      </w:r>
      <w:r>
        <w:rPr>
          <w:rFonts w:ascii="Cambria" w:hAnsi="Cambria"/>
          <w:b/>
          <w:bCs/>
        </w:rPr>
        <w:t xml:space="preserve">44 %</w:t>
      </w:r>
      <w:r>
        <w:rPr>
          <w:rFonts w:ascii="Cambria" w:hAnsi="Cambria"/>
        </w:rPr>
        <w:t xml:space="preserve"> en las de renta baja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Impulsado por la externalización de actividades antes internas y por las </w:t>
      </w:r>
      <w:r>
        <w:rPr>
          <w:rFonts w:ascii="Cambria" w:hAnsi="Cambria"/>
          <w:b/>
          <w:bCs/>
        </w:rPr>
        <w:t xml:space="preserve">TIC</w:t>
      </w:r>
      <w:r>
        <w:rPr>
          <w:rFonts w:ascii="Cambria" w:hAnsi="Cambria"/>
        </w:rPr>
        <w:t xml:space="preserve">, que crean servicios nuevos y comercializan internacionalmente actividades antes locales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aborda la definición de servicio del </w:t>
      </w:r>
      <w:r>
        <w:rPr>
          <w:rFonts w:ascii="Cambria" w:hAnsi="Cambria"/>
          <w:b/>
          <w:bCs/>
        </w:rPr>
        <w:t xml:space="preserve">SCN</w:t>
      </w:r>
      <w:r>
        <w:rPr>
          <w:rFonts w:ascii="Cambria" w:hAnsi="Cambria"/>
        </w:rPr>
        <w:t xml:space="preserve">, la evolución del comercio de servicios, la regulación del </w:t>
      </w:r>
      <w:r>
        <w:rPr>
          <w:rFonts w:ascii="Cambria" w:hAnsi="Cambria"/>
          <w:b/>
          <w:bCs/>
        </w:rPr>
        <w:t xml:space="preserve">GATS/AGCS</w:t>
      </w:r>
      <w:r>
        <w:rPr>
          <w:rFonts w:ascii="Cambria" w:hAnsi="Cambria"/>
        </w:rPr>
        <w:t xml:space="preserve"> de la </w:t>
      </w:r>
      <w:r>
        <w:rPr>
          <w:rFonts w:ascii="Cambria" w:hAnsi="Cambria"/>
          <w:b/>
          <w:bCs/>
        </w:rPr>
        <w:t xml:space="preserve">OMC</w:t>
      </w:r>
      <w:r>
        <w:rPr>
          <w:rFonts w:ascii="Cambria" w:hAnsi="Cambria"/>
        </w:rPr>
        <w:t xml:space="preserve"> y comunitaria, y el turismo mundial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DEFINICIÓN DE SERVICIO EN EL SISTEMA DE CUENTAS NACIONALES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Sistema de Cuentas Nacionales (SCN)</w:t>
      </w:r>
      <w:r>
        <w:rPr>
          <w:rFonts w:ascii="Cambria" w:hAnsi="Cambria"/>
        </w:rPr>
        <w:t xml:space="preserve"> define los servicios como actividades que producen algo intangible, no almacenable, de cierta duración e invisible, constituyendo el sector terciario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Clasificación según la CNE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Servicios de mercado (diez subsectores): comercio, restaurantes y hoteles, transporte, comunicaciones, seguros y crédito, alquiler de inmuebles, enseñanza, sanidad, servicios a empresas, otros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Servicios no de mercado (cuatro subsectores): servicios generales de las </w:t>
      </w:r>
      <w:r>
        <w:rPr>
          <w:rFonts w:ascii="Cambria" w:hAnsi="Cambria"/>
          <w:b/>
          <w:bCs/>
        </w:rPr>
        <w:t xml:space="preserve">AAPP</w:t>
      </w:r>
      <w:r>
        <w:rPr>
          <w:rFonts w:ascii="Cambria" w:hAnsi="Cambria"/>
        </w:rPr>
        <w:t xml:space="preserve">, enseñanza pública, sanidad pública, servicio doméstico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Clasificación según destino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Consumo final y servicios intermedios a los procesos productivos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Clasificación según actividades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Producción, distribución, personales, sociales y públicos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Características del sector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Gran heterogeneidad de actividades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Servicios no de mercado, sin criterios de precio ni competencia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Dificultad para separar servicios integrados en la industria por el outsourcing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Elevado ritmo tecnológico, que complica valorar cambios de calidad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Mayor peso de la economía sumergida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EVOLUCIÓN INTERNACIONAL DEL COMERCIO DE SERVICIOS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Hasta los </w:t>
      </w:r>
      <w:r>
        <w:rPr>
          <w:rFonts w:ascii="Cambria" w:hAnsi="Cambria"/>
          <w:b/>
          <w:bCs/>
        </w:rPr>
        <w:t xml:space="preserve">años ochenta</w:t>
      </w:r>
      <w:r>
        <w:rPr>
          <w:rFonts w:ascii="Cambria" w:hAnsi="Cambria"/>
        </w:rPr>
        <w:t xml:space="preserve"> los servicios eran bienes no transables. La liberalización comercial y las TIC los incorporaron al comercio internacional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globalización impulsó la externalización a países de bajo coste, con </w:t>
      </w:r>
      <w:r>
        <w:rPr>
          <w:rFonts w:ascii="Cambria" w:hAnsi="Cambria"/>
          <w:b/>
          <w:bCs/>
        </w:rPr>
        <w:t xml:space="preserve">India</w:t>
      </w:r>
      <w:r>
        <w:rPr>
          <w:rFonts w:ascii="Cambria" w:hAnsi="Cambria"/>
        </w:rPr>
        <w:t xml:space="preserve"> a la cabeza y </w:t>
      </w:r>
      <w:r>
        <w:rPr>
          <w:rFonts w:ascii="Cambria" w:hAnsi="Cambria"/>
          <w:b/>
          <w:bCs/>
        </w:rPr>
        <w:t xml:space="preserve">Filipinas</w:t>
      </w:r>
      <w:r>
        <w:rPr>
          <w:rFonts w:ascii="Cambria" w:hAnsi="Cambria"/>
        </w:rPr>
        <w:t xml:space="preserve"> como alternativa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servicios son hoy dos tercios de la producción mundial y una cuarta parte del comercio internacional, con exportaciones multiplicadas por cuatro en veinte años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OMC</w:t>
      </w:r>
      <w:r>
        <w:rPr>
          <w:rFonts w:ascii="Cambria" w:hAnsi="Cambria"/>
        </w:rPr>
        <w:t xml:space="preserve"> clasifica los servicios comerciales en transportes, viajes, servicios relacionados con bienes y otros, esta última la de mayor crecimiento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el Informe Anual </w:t>
      </w:r>
      <w:r>
        <w:rPr>
          <w:rFonts w:ascii="Cambria" w:hAnsi="Cambria"/>
          <w:b/>
          <w:bCs/>
        </w:rPr>
        <w:t xml:space="preserve">2025</w:t>
      </w:r>
      <w:r>
        <w:rPr>
          <w:rFonts w:ascii="Cambria" w:hAnsi="Cambria"/>
        </w:rPr>
        <w:t xml:space="preserve"> (datos de 2024), crecen viajes (</w:t>
      </w:r>
      <w:r>
        <w:rPr>
          <w:rFonts w:ascii="Cambria" w:hAnsi="Cambria"/>
          <w:b/>
          <w:bCs/>
        </w:rPr>
        <w:t xml:space="preserve">13 %</w:t>
      </w:r>
      <w:r>
        <w:rPr>
          <w:rFonts w:ascii="Cambria" w:hAnsi="Cambria"/>
        </w:rPr>
        <w:t xml:space="preserve">), información (</w:t>
      </w:r>
      <w:r>
        <w:rPr>
          <w:rFonts w:ascii="Cambria" w:hAnsi="Cambria"/>
          <w:b/>
          <w:bCs/>
        </w:rPr>
        <w:t xml:space="preserve">14 %</w:t>
      </w:r>
      <w:r>
        <w:rPr>
          <w:rFonts w:ascii="Cambria" w:hAnsi="Cambria"/>
        </w:rPr>
        <w:t xml:space="preserve">) e informática (</w:t>
      </w:r>
      <w:r>
        <w:rPr>
          <w:rFonts w:ascii="Cambria" w:hAnsi="Cambria"/>
          <w:b/>
          <w:bCs/>
        </w:rPr>
        <w:t xml:space="preserve">12 %</w:t>
      </w:r>
      <w:r>
        <w:rPr>
          <w:rFonts w:ascii="Cambria" w:hAnsi="Cambria"/>
        </w:rPr>
        <w:t xml:space="preserve">), y caen las telecomunicaciones (</w:t>
      </w:r>
      <w:r>
        <w:rPr>
          <w:rFonts w:ascii="Cambria" w:hAnsi="Cambria"/>
          <w:b/>
          <w:bCs/>
        </w:rPr>
        <w:t xml:space="preserve">4 %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Europa</w:t>
      </w:r>
      <w:r>
        <w:rPr>
          <w:rFonts w:ascii="Cambria" w:hAnsi="Cambria"/>
        </w:rPr>
        <w:t xml:space="preserve"> es el principal exportador mundial, con cuota a la baja por el ascenso de Asia y China. La </w:t>
      </w:r>
      <w:r>
        <w:rPr>
          <w:rFonts w:ascii="Cambria" w:hAnsi="Cambria"/>
          <w:b/>
          <w:bCs/>
        </w:rPr>
        <w:t xml:space="preserve">CEI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América del Sur y Central</w:t>
      </w:r>
      <w:r>
        <w:rPr>
          <w:rFonts w:ascii="Cambria" w:hAnsi="Cambria"/>
        </w:rPr>
        <w:t xml:space="preserve"> tienen presencia marginal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REGULACIÓN DEL COMERCIO INTERNACIONAL DE SERVICIOS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liberalización reduce precios y mejora la calidad. Sin ella se produce </w:t>
      </w:r>
      <w:r>
        <w:rPr>
          <w:rFonts w:ascii="Cambria" w:hAnsi="Cambria"/>
          <w:b/>
          <w:bCs/>
        </w:rPr>
        <w:t xml:space="preserve">inflación dual</w:t>
      </w:r>
      <w:r>
        <w:rPr>
          <w:rFonts w:ascii="Cambria" w:hAnsi="Cambria"/>
        </w:rPr>
        <w:t xml:space="preserve">: los bienes se contienen por competencia internacional y los servicios crecen más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Instrumentos principales: el </w:t>
      </w:r>
      <w:r>
        <w:rPr>
          <w:rFonts w:ascii="Cambria" w:hAnsi="Cambria"/>
          <w:b/>
          <w:bCs/>
        </w:rPr>
        <w:t xml:space="preserve">GATS</w:t>
      </w:r>
      <w:r>
        <w:rPr>
          <w:rFonts w:ascii="Cambria" w:hAnsi="Cambria"/>
        </w:rPr>
        <w:t xml:space="preserve"> en la OMC y, en la UE, la </w:t>
      </w:r>
      <w:r>
        <w:rPr>
          <w:rFonts w:ascii="Cambria" w:hAnsi="Cambria"/>
          <w:b/>
          <w:bCs/>
        </w:rPr>
        <w:t xml:space="preserve">Directiva 2006/123/CE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El GATS/AGCS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Primer acuerdo multilateral sobre comercio de servicios, en vigor desde </w:t>
      </w:r>
      <w:r>
        <w:rPr>
          <w:rFonts w:ascii="Cambria" w:hAnsi="Cambria"/>
          <w:b/>
          <w:bCs/>
        </w:rPr>
        <w:t xml:space="preserve">1995</w:t>
      </w:r>
      <w:r>
        <w:rPr>
          <w:rFonts w:ascii="Cambria" w:hAnsi="Cambria"/>
        </w:rPr>
        <w:t xml:space="preserve"> junto al GATT y el Acuerdo sobre los ADPIC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Persigue la expansión del comercio de servicios con transparencia y liberalización progresiva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Cuatro modos de suministro (artículo I)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Modo 1</w:t>
      </w:r>
      <w:r>
        <w:rPr>
          <w:rFonts w:ascii="Cambria" w:hAnsi="Cambria"/>
        </w:rPr>
        <w:t xml:space="preserve">, comercio transfronterizo, sin desplazamiento de personas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Modo 2</w:t>
      </w:r>
      <w:r>
        <w:rPr>
          <w:rFonts w:ascii="Cambria" w:hAnsi="Cambria"/>
        </w:rPr>
        <w:t xml:space="preserve">, consumo en el extranjero, el consumidor se desplaza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Modo 3</w:t>
      </w:r>
      <w:r>
        <w:rPr>
          <w:rFonts w:ascii="Cambria" w:hAnsi="Cambria"/>
        </w:rPr>
        <w:t xml:space="preserve">, presencia comercial, filial o sucursal en el país del consumidor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Modo 4</w:t>
      </w:r>
      <w:r>
        <w:rPr>
          <w:rFonts w:ascii="Cambria" w:hAnsi="Cambria"/>
        </w:rPr>
        <w:t xml:space="preserve">, movimiento de personas físicas del país proveedor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Doce sectores básicos: empresas, comunicaciones, construcción, distribución, enseñanza, medioambiente, financieros, sociales, turismo, esparcimiento, transporte, otros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Obligaciones incondicionales: cláusula de la </w:t>
      </w:r>
      <w:r>
        <w:rPr>
          <w:rFonts w:ascii="Cambria" w:hAnsi="Cambria"/>
          <w:b/>
          <w:bCs/>
        </w:rPr>
        <w:t xml:space="preserve">Nación Más Favorecida (CNMF)</w:t>
      </w:r>
      <w:r>
        <w:rPr>
          <w:rFonts w:ascii="Cambria" w:hAnsi="Cambria"/>
        </w:rPr>
        <w:t xml:space="preserve">, con exenciones para acuerdos de integración, y transparencia (publicación y notificación al Consejo del Comercio de Servicios)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Obligaciones condicionales, solo para sectores con compromisos específicos: reglamentación nacional, monopolios, prácticas comerciales, subvenciones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Compromisos específicos: acceso a los mercados y trato nacional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Otras disposiciones: acuerdos de integración económica (artículo V), reconocimiento de títulos (artículo VII) y excepciones por balanza de pagos, salud, orden público o seguridad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Ronda Doha y acuerdos posteriores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artículo XIX prevé rondas sucesivas. En </w:t>
      </w:r>
      <w:r>
        <w:rPr>
          <w:rFonts w:ascii="Cambria" w:hAnsi="Cambria"/>
          <w:b/>
          <w:bCs/>
        </w:rPr>
        <w:t xml:space="preserve">2000</w:t>
      </w:r>
      <w:r>
        <w:rPr>
          <w:rFonts w:ascii="Cambria" w:hAnsi="Cambria"/>
        </w:rPr>
        <w:t xml:space="preserve"> se iniciaron negociaciones encuadradas desde </w:t>
      </w:r>
      <w:r>
        <w:rPr>
          <w:rFonts w:ascii="Cambria" w:hAnsi="Cambria"/>
          <w:b/>
          <w:bCs/>
        </w:rPr>
        <w:t xml:space="preserve">2001</w:t>
      </w:r>
      <w:r>
        <w:rPr>
          <w:rFonts w:ascii="Cambria" w:hAnsi="Cambria"/>
        </w:rPr>
        <w:t xml:space="preserve"> en el </w:t>
      </w:r>
      <w:r>
        <w:rPr>
          <w:rFonts w:ascii="Cambria" w:hAnsi="Cambria"/>
          <w:b/>
          <w:bCs/>
        </w:rPr>
        <w:t xml:space="preserve">Programa de Doha para el Desarrollo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2005</w:t>
      </w:r>
      <w:r>
        <w:rPr>
          <w:rFonts w:ascii="Cambria" w:hAnsi="Cambria"/>
        </w:rPr>
        <w:t xml:space="preserve"> Hong Kong (exención para PMA), </w:t>
      </w:r>
      <w:r>
        <w:rPr>
          <w:rFonts w:ascii="Cambria" w:hAnsi="Cambria"/>
          <w:b/>
          <w:bCs/>
        </w:rPr>
        <w:t xml:space="preserve">2013</w:t>
      </w:r>
      <w:r>
        <w:rPr>
          <w:rFonts w:ascii="Cambria" w:hAnsi="Cambria"/>
        </w:rPr>
        <w:t xml:space="preserve"> Bali (Acuerdo sobre Facilitación del Comercio, en vigor desde 2017), </w:t>
      </w:r>
      <w:r>
        <w:rPr>
          <w:rFonts w:ascii="Cambria" w:hAnsi="Cambria"/>
          <w:b/>
          <w:bCs/>
        </w:rPr>
        <w:t xml:space="preserve">2015</w:t>
      </w:r>
      <w:r>
        <w:rPr>
          <w:rFonts w:ascii="Cambria" w:hAnsi="Cambria"/>
        </w:rPr>
        <w:t xml:space="preserve"> Nairobi (Paquete de Nairobi)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2011</w:t>
      </w:r>
      <w:r>
        <w:rPr>
          <w:rFonts w:ascii="Cambria" w:hAnsi="Cambria"/>
        </w:rPr>
        <w:t xml:space="preserve">, waiver para PMA en Ginebra, prorrogado hasta </w:t>
      </w:r>
      <w:r>
        <w:rPr>
          <w:rFonts w:ascii="Cambria" w:hAnsi="Cambria"/>
          <w:b/>
          <w:bCs/>
        </w:rPr>
        <w:t xml:space="preserve">2030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CM12</w:t>
      </w:r>
      <w:r>
        <w:rPr>
          <w:rFonts w:ascii="Cambria" w:hAnsi="Cambria"/>
        </w:rPr>
        <w:t xml:space="preserve"> (Ginebra, 2022), sin nuevos compromisos, respaldo a reglamentación nacional y digitalización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Iniciativa Conjunta sobre Reglamentación Nacional de los Servicios (SDR)</w:t>
      </w:r>
      <w:r>
        <w:rPr>
          <w:rFonts w:ascii="Cambria" w:hAnsi="Cambria"/>
        </w:rPr>
        <w:t xml:space="preserve">, aplicada desde el </w:t>
      </w:r>
      <w:r>
        <w:rPr>
          <w:rFonts w:ascii="Cambria" w:hAnsi="Cambria"/>
          <w:b/>
          <w:bCs/>
        </w:rPr>
        <w:t xml:space="preserve">5 de julio de 2024</w:t>
      </w:r>
      <w:r>
        <w:rPr>
          <w:rFonts w:ascii="Cambria" w:hAnsi="Cambria"/>
        </w:rPr>
        <w:t xml:space="preserve"> por </w:t>
      </w:r>
      <w:r>
        <w:rPr>
          <w:rFonts w:ascii="Cambria" w:hAnsi="Cambria"/>
          <w:b/>
          <w:bCs/>
        </w:rPr>
        <w:t xml:space="preserve">72 miembros</w:t>
      </w:r>
      <w:r>
        <w:rPr>
          <w:rFonts w:ascii="Cambria" w:hAnsi="Cambria"/>
        </w:rPr>
        <w:t xml:space="preserve">, en torno al </w:t>
      </w:r>
      <w:r>
        <w:rPr>
          <w:rFonts w:ascii="Cambria" w:hAnsi="Cambria"/>
          <w:b/>
          <w:bCs/>
        </w:rPr>
        <w:t xml:space="preserve">90 %</w:t>
      </w:r>
      <w:r>
        <w:rPr>
          <w:rFonts w:ascii="Cambria" w:hAnsi="Cambria"/>
        </w:rPr>
        <w:t xml:space="preserve"> del comercio mundial de servicios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CM13</w:t>
      </w:r>
      <w:r>
        <w:rPr>
          <w:rFonts w:ascii="Cambria" w:hAnsi="Cambria"/>
        </w:rPr>
        <w:t xml:space="preserve"> (Abu Dabi, 2024), Declaración sobre no discriminación por razón de género y renovación de la moratoria sobre aranceles al comercio electrónico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CM14</w:t>
      </w:r>
      <w:r>
        <w:rPr>
          <w:rFonts w:ascii="Cambria" w:hAnsi="Cambria"/>
        </w:rPr>
        <w:t xml:space="preserve"> (Yaundé, 2026), sin nuevos compromisos, respaldo al SDR, moratoria digital trasladada al Consejo General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El TiSA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Iniciado en </w:t>
      </w:r>
      <w:r>
        <w:rPr>
          <w:rFonts w:ascii="Cambria" w:hAnsi="Cambria"/>
          <w:b/>
          <w:bCs/>
        </w:rPr>
        <w:t xml:space="preserve">2013</w:t>
      </w:r>
      <w:r>
        <w:rPr>
          <w:rFonts w:ascii="Cambria" w:hAnsi="Cambria"/>
        </w:rPr>
        <w:t xml:space="preserve"> por </w:t>
      </w:r>
      <w:r>
        <w:rPr>
          <w:rFonts w:ascii="Cambria" w:hAnsi="Cambria"/>
          <w:b/>
          <w:bCs/>
        </w:rPr>
        <w:t xml:space="preserve">23 miembros</w:t>
      </w:r>
      <w:r>
        <w:rPr>
          <w:rFonts w:ascii="Cambria" w:hAnsi="Cambria"/>
        </w:rPr>
        <w:t xml:space="preserve"> de la OMC (UE, EEUU, Japón, Canadá, Australia), con vocación de multilateralizarse. </w:t>
      </w:r>
      <w:r>
        <w:rPr>
          <w:rFonts w:ascii="Cambria" w:hAnsi="Cambria"/>
          <w:b/>
          <w:bCs/>
        </w:rPr>
        <w:t xml:space="preserve">21 rondas</w:t>
      </w:r>
      <w:r>
        <w:rPr>
          <w:rFonts w:ascii="Cambria" w:hAnsi="Cambria"/>
        </w:rPr>
        <w:t xml:space="preserve"> hasta </w:t>
      </w:r>
      <w:r>
        <w:rPr>
          <w:rFonts w:ascii="Cambria" w:hAnsi="Cambria"/>
          <w:b/>
          <w:bCs/>
        </w:rPr>
        <w:t xml:space="preserve">2016</w:t>
      </w:r>
      <w:r>
        <w:rPr>
          <w:rFonts w:ascii="Cambria" w:hAnsi="Cambria"/>
        </w:rPr>
        <w:t xml:space="preserve">, en stand-by desde entonces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La Directiva Bolkestein: Directiva 2006/123/CE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la libertad de establecimiento y la libre prestación de servicios entre Estados miembros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Principios: separación regulador-regulado, delimitación de monopolios naturales, acceso no discriminatorio a redes, igualdad de acceso al mercado, defensa de la competencia, servicio universal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artículo 16</w:t>
      </w:r>
      <w:r>
        <w:rPr>
          <w:rFonts w:ascii="Cambria" w:hAnsi="Cambria"/>
        </w:rPr>
        <w:t xml:space="preserve"> prohíbe requisitos discriminatorios por nacionalidad, no justificados por orden público, seguridad, salud o medioambiente, o desproporcionados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Transposición mediante la </w:t>
      </w:r>
      <w:r>
        <w:rPr>
          <w:rFonts w:ascii="Cambria" w:hAnsi="Cambria"/>
          <w:b/>
          <w:bCs/>
        </w:rPr>
        <w:t xml:space="preserve">Ley 17/2009</w:t>
      </w:r>
      <w:r>
        <w:rPr>
          <w:rFonts w:ascii="Cambria" w:hAnsi="Cambria"/>
        </w:rPr>
        <w:t xml:space="preserve"> ("Ley Paraguas") y la </w:t>
      </w:r>
      <w:r>
        <w:rPr>
          <w:rFonts w:ascii="Cambria" w:hAnsi="Cambria"/>
          <w:b/>
          <w:bCs/>
        </w:rPr>
        <w:t xml:space="preserve">Ley 25/2009</w:t>
      </w:r>
      <w:r>
        <w:rPr>
          <w:rFonts w:ascii="Cambria" w:hAnsi="Cambria"/>
        </w:rPr>
        <w:t xml:space="preserve"> ("Ley Ómnibus"), que modifica </w:t>
      </w:r>
      <w:r>
        <w:rPr>
          <w:rFonts w:ascii="Cambria" w:hAnsi="Cambria"/>
          <w:b/>
          <w:bCs/>
        </w:rPr>
        <w:t xml:space="preserve">47 leyes</w:t>
      </w:r>
      <w:r>
        <w:rPr>
          <w:rFonts w:ascii="Cambria" w:hAnsi="Cambria"/>
        </w:rPr>
        <w:t xml:space="preserve"> estatales, entre ellas la </w:t>
      </w:r>
      <w:r>
        <w:rPr>
          <w:rFonts w:ascii="Cambria" w:hAnsi="Cambria"/>
          <w:b/>
          <w:bCs/>
        </w:rPr>
        <w:t xml:space="preserve">Ley 7/1996</w:t>
      </w:r>
      <w:r>
        <w:rPr>
          <w:rFonts w:ascii="Cambria" w:hAnsi="Cambria"/>
        </w:rPr>
        <w:t xml:space="preserve"> de Ordenación del Comercio Minorista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EL MERCADO ÚNICO DIGITAL Y EL PROGRAMA EUROPA DIGITAL 2021-2027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 el principio de mercado interior al entorno digital, dentro de la Agenda Digital para Europa de la Estrategia Europa 2020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 de banda ancha: cobertura básica para el </w:t>
      </w:r>
      <w:r>
        <w:rPr>
          <w:rFonts w:ascii="Cambria" w:hAnsi="Cambria"/>
          <w:b/>
          <w:bCs/>
        </w:rPr>
        <w:t xml:space="preserve">100 %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30 Mbps</w:t>
      </w:r>
      <w:r>
        <w:rPr>
          <w:rFonts w:ascii="Cambria" w:hAnsi="Cambria"/>
        </w:rPr>
        <w:t xml:space="preserve"> para el </w:t>
      </w:r>
      <w:r>
        <w:rPr>
          <w:rFonts w:ascii="Cambria" w:hAnsi="Cambria"/>
          <w:b/>
          <w:bCs/>
        </w:rPr>
        <w:t xml:space="preserve">100 %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100 Mbps</w:t>
      </w:r>
      <w:r>
        <w:rPr>
          <w:rFonts w:ascii="Cambria" w:hAnsi="Cambria"/>
        </w:rPr>
        <w:t xml:space="preserve"> para el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de los hogares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Estrategia para el Mercado Único Digital (</w:t>
      </w:r>
      <w:r>
        <w:rPr>
          <w:rFonts w:ascii="Cambria" w:hAnsi="Cambria"/>
          <w:b/>
          <w:bCs/>
        </w:rPr>
        <w:t xml:space="preserve">2015</w:t>
      </w:r>
      <w:r>
        <w:rPr>
          <w:rFonts w:ascii="Cambria" w:hAnsi="Cambria"/>
        </w:rPr>
        <w:t xml:space="preserve">) tiene tres pilares: acceso, entorno, y economía y sociedad digitales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2015/2120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2017/920</w:t>
      </w:r>
      <w:r>
        <w:rPr>
          <w:rFonts w:ascii="Cambria" w:hAnsi="Cambria"/>
        </w:rPr>
        <w:t xml:space="preserve">, elimina el roaming desde </w:t>
      </w:r>
      <w:r>
        <w:rPr>
          <w:rFonts w:ascii="Cambria" w:hAnsi="Cambria"/>
          <w:b/>
          <w:bCs/>
        </w:rPr>
        <w:t xml:space="preserve">2017</w:t>
      </w:r>
      <w:r>
        <w:rPr>
          <w:rFonts w:ascii="Cambria" w:hAnsi="Cambria"/>
        </w:rPr>
        <w:t xml:space="preserve">, y </w:t>
      </w:r>
      <w:r>
        <w:rPr>
          <w:rFonts w:ascii="Cambria" w:hAnsi="Cambria"/>
          <w:b/>
          <w:bCs/>
        </w:rPr>
        <w:t xml:space="preserve">Reglamento (UE) 2017/1128</w:t>
      </w:r>
      <w:r>
        <w:rPr>
          <w:rFonts w:ascii="Cambria" w:hAnsi="Cambria"/>
        </w:rPr>
        <w:t xml:space="preserve">, portabilidad de contenidos digitales desde </w:t>
      </w:r>
      <w:r>
        <w:rPr>
          <w:rFonts w:ascii="Cambria" w:hAnsi="Cambria"/>
          <w:b/>
          <w:bCs/>
        </w:rPr>
        <w:t xml:space="preserve">2018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Programa Europa Digital 2021-2027</w:t>
      </w:r>
      <w:r>
        <w:rPr>
          <w:rFonts w:ascii="Cambria" w:hAnsi="Cambria"/>
        </w:rPr>
        <w:t xml:space="preserve">, con </w:t>
      </w:r>
      <w:r>
        <w:rPr>
          <w:rFonts w:ascii="Cambria" w:hAnsi="Cambria"/>
          <w:b/>
          <w:bCs/>
        </w:rPr>
        <w:t xml:space="preserve">7.588 millones de euros</w:t>
      </w:r>
      <w:r>
        <w:rPr>
          <w:rFonts w:ascii="Cambria" w:hAnsi="Cambria"/>
        </w:rPr>
        <w:t xml:space="preserve">, impulsa IA, ciberseguridad, computación y competencias digitales, con centros de innovación digital y coordinación del </w:t>
      </w:r>
      <w:r>
        <w:rPr>
          <w:rFonts w:ascii="Cambria" w:hAnsi="Cambria"/>
          <w:b/>
          <w:bCs/>
        </w:rPr>
        <w:t xml:space="preserve">ORECE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EL TURISMO EN EL MUNDO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Representa un tercio del sector servicios mundial y se distribuye también en países en desarrollo, generando divisas con inversión modesta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ONU Turismo</w:t>
      </w:r>
      <w:r>
        <w:rPr>
          <w:rFonts w:ascii="Cambria" w:hAnsi="Cambria"/>
        </w:rPr>
        <w:t xml:space="preserve"> pronosticó un crecimiento medio anual del </w:t>
      </w:r>
      <w:r>
        <w:rPr>
          <w:rFonts w:ascii="Cambria" w:hAnsi="Cambria"/>
          <w:b/>
          <w:bCs/>
        </w:rPr>
        <w:t xml:space="preserve">3,3 %</w:t>
      </w:r>
      <w:r>
        <w:rPr>
          <w:rFonts w:ascii="Cambria" w:hAnsi="Cambria"/>
        </w:rPr>
        <w:t xml:space="preserve"> hasta 2030, con las economías emergentes duplicando el ritmo de las avanzadas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2020</w:t>
      </w:r>
      <w:r>
        <w:rPr>
          <w:rFonts w:ascii="Cambria" w:hAnsi="Cambria"/>
        </w:rPr>
        <w:t xml:space="preserve"> fue el peor año del turismo por la </w:t>
      </w:r>
      <w:r>
        <w:rPr>
          <w:rFonts w:ascii="Cambria" w:hAnsi="Cambria"/>
          <w:b/>
          <w:bCs/>
        </w:rPr>
        <w:t xml:space="preserve">COVID-19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1.000 millones</w:t>
      </w:r>
      <w:r>
        <w:rPr>
          <w:rFonts w:ascii="Cambria" w:hAnsi="Cambria"/>
        </w:rPr>
        <w:t xml:space="preserve"> de viajeros menos, caída del </w:t>
      </w:r>
      <w:r>
        <w:rPr>
          <w:rFonts w:ascii="Cambria" w:hAnsi="Cambria"/>
          <w:b/>
          <w:bCs/>
        </w:rPr>
        <w:t xml:space="preserve">74 %</w:t>
      </w:r>
      <w:r>
        <w:rPr>
          <w:rFonts w:ascii="Cambria" w:hAnsi="Cambria"/>
        </w:rPr>
        <w:t xml:space="preserve">, pérdidas de </w:t>
      </w:r>
      <w:r>
        <w:rPr>
          <w:rFonts w:ascii="Cambria" w:hAnsi="Cambria"/>
          <w:b/>
          <w:bCs/>
        </w:rPr>
        <w:t xml:space="preserve">1,3 billones de dólares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Recuperación intensa desde 2022. En el primer trimestre de </w:t>
      </w:r>
      <w:r>
        <w:rPr>
          <w:rFonts w:ascii="Cambria" w:hAnsi="Cambria"/>
          <w:b/>
          <w:bCs/>
        </w:rPr>
        <w:t xml:space="preserve">2026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307 millones</w:t>
      </w:r>
      <w:r>
        <w:rPr>
          <w:rFonts w:ascii="Cambria" w:hAnsi="Cambria"/>
        </w:rPr>
        <w:t xml:space="preserve"> de llegadas internacionales, </w:t>
      </w:r>
      <w:r>
        <w:rPr>
          <w:rFonts w:ascii="Cambria" w:hAnsi="Cambria"/>
          <w:b/>
          <w:bCs/>
        </w:rPr>
        <w:t xml:space="preserve">2 %</w:t>
      </w:r>
      <w:r>
        <w:rPr>
          <w:rFonts w:ascii="Cambria" w:hAnsi="Cambria"/>
        </w:rPr>
        <w:t xml:space="preserve"> más que en 2025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España, segundo destino mundial en 2019 (</w:t>
      </w:r>
      <w:r>
        <w:rPr>
          <w:rFonts w:ascii="Cambria" w:hAnsi="Cambria"/>
          <w:b/>
          <w:bCs/>
        </w:rPr>
        <w:t xml:space="preserve">83,7 millones</w:t>
      </w:r>
      <w:r>
        <w:rPr>
          <w:rFonts w:ascii="Cambria" w:hAnsi="Cambria"/>
        </w:rPr>
        <w:t xml:space="preserve">), alcanzó en </w:t>
      </w:r>
      <w:r>
        <w:rPr>
          <w:rFonts w:ascii="Cambria" w:hAnsi="Cambria"/>
          <w:b/>
          <w:bCs/>
        </w:rPr>
        <w:t xml:space="preserve">2025</w:t>
      </w:r>
      <w:r>
        <w:rPr>
          <w:rFonts w:ascii="Cambria" w:hAnsi="Cambria"/>
        </w:rPr>
        <w:t xml:space="preserve"> el récord de </w:t>
      </w:r>
      <w:r>
        <w:rPr>
          <w:rFonts w:ascii="Cambria" w:hAnsi="Cambria"/>
          <w:b/>
          <w:bCs/>
        </w:rPr>
        <w:t xml:space="preserve">96,8 millones</w:t>
      </w:r>
      <w:r>
        <w:rPr>
          <w:rFonts w:ascii="Cambria" w:hAnsi="Cambria"/>
        </w:rPr>
        <w:t xml:space="preserve"> de turistas internacionales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servicios vertebra las economías contemporáneas por su peso en producción y empleo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GATS</w:t>
      </w:r>
      <w:r>
        <w:rPr>
          <w:rFonts w:ascii="Cambria" w:hAnsi="Cambria"/>
        </w:rPr>
        <w:t xml:space="preserve">, en la OMC, ha avanzado en la liberalización progresiva, con el hito del </w:t>
      </w:r>
      <w:r>
        <w:rPr>
          <w:rFonts w:ascii="Cambria" w:hAnsi="Cambria"/>
          <w:b/>
          <w:bCs/>
        </w:rPr>
        <w:t xml:space="preserve">SDR</w:t>
      </w:r>
      <w:r>
        <w:rPr>
          <w:rFonts w:ascii="Cambria" w:hAnsi="Cambria"/>
        </w:rPr>
        <w:t xml:space="preserve"> desde julio de 2024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estancamiento de la Ronda Doha, la parálisis del TiSA y los limitados avances de la CM14 de Yaundé muestran que el consenso multilateral en servicios sigue siendo más difícil de alcanzar que en mercancías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21 - Definición de servicio según el sistema de cuentas nacionales. Análisis de la evolución internacional del comercio de servicios. La regulación del comercio internacional de servicios: El Acuerdo General sobre Comercio de Servicios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