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1. INTRODUCCIÓN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sector servicios es el eje vertebrador de las economías contemporáneas, principal fuente de empleo y mayor generador de valor añadido. Correlación entre desarrollo y peso de los servicios: </w:t>
      </w:r>
      <w:r>
        <w:rPr>
          <w:rFonts w:ascii="Cambria" w:hAnsi="Cambria"/>
          <w:b/>
          <w:bCs/>
        </w:rPr>
        <w:t xml:space="preserve">70%</w:t>
      </w:r>
      <w:r>
        <w:rPr>
          <w:rFonts w:ascii="Cambria" w:hAnsi="Cambria"/>
        </w:rPr>
        <w:t xml:space="preserve"> de la producción en economías avanzadas, </w:t>
      </w:r>
      <w:r>
        <w:rPr>
          <w:rFonts w:ascii="Cambria" w:hAnsi="Cambria"/>
          <w:b/>
          <w:bCs/>
        </w:rPr>
        <w:t xml:space="preserve">55%</w:t>
      </w:r>
      <w:r>
        <w:rPr>
          <w:rFonts w:ascii="Cambria" w:hAnsi="Cambria"/>
        </w:rPr>
        <w:t xml:space="preserve"> en renta media, </w:t>
      </w:r>
      <w:r>
        <w:rPr>
          <w:rFonts w:ascii="Cambria" w:hAnsi="Cambria"/>
          <w:b/>
          <w:bCs/>
        </w:rPr>
        <w:t xml:space="preserve">44%</w:t>
      </w:r>
      <w:r>
        <w:rPr>
          <w:rFonts w:ascii="Cambria" w:hAnsi="Cambria"/>
        </w:rPr>
        <w:t xml:space="preserve"> en renta baja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</w:t>
      </w:r>
      <w:r>
        <w:rPr>
          <w:rFonts w:ascii="Cambria" w:hAnsi="Cambria"/>
          <w:b/>
          <w:bCs/>
        </w:rPr>
        <w:t xml:space="preserve">Sistema de Cuentas Nacionales (SCN)</w:t>
      </w:r>
      <w:r>
        <w:rPr>
          <w:rFonts w:ascii="Cambria" w:hAnsi="Cambria"/>
        </w:rPr>
        <w:t xml:space="preserve"> define los servicios como actividades que producen algo intangible, no almacenable e invisible, constituyendo el sector terciario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Clasificaciones: </w:t>
      </w:r>
      <w:r>
        <w:rPr>
          <w:rFonts w:ascii="Cambria" w:hAnsi="Cambria"/>
          <w:b/>
          <w:bCs/>
        </w:rPr>
        <w:t xml:space="preserve">CNE</w:t>
      </w:r>
      <w:r>
        <w:rPr>
          <w:rFonts w:ascii="Cambria" w:hAnsi="Cambria"/>
        </w:rPr>
        <w:t xml:space="preserve"> (de mercado, 10 subsectores, y no de mercado: AAPP, enseñanza, sanidad, servicio doméstico), según destino (consumo final o intermedios) y según actividad (producción, distribución, personales, sociales y públicos)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Peculiaridades: heterogeneidad, outsourcing, ritmo tecnológico y peso de la economía sumergida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</w:t>
      </w:r>
      <w:r>
        <w:rPr>
          <w:rFonts w:ascii="Cambria" w:hAnsi="Cambria"/>
          <w:b/>
          <w:bCs/>
        </w:rPr>
        <w:t xml:space="preserve">Directiva 2006/123/CE (Bolkestein)</w:t>
      </w:r>
      <w:r>
        <w:rPr>
          <w:rFonts w:ascii="Cambria" w:hAnsi="Cambria"/>
        </w:rPr>
        <w:t xml:space="preserve"> garantiza la libertad de establecimiento y circulación de servicios en la UE, transpuesta por la </w:t>
      </w:r>
      <w:r>
        <w:rPr>
          <w:rFonts w:ascii="Cambria" w:hAnsi="Cambria"/>
          <w:b/>
          <w:bCs/>
        </w:rPr>
        <w:t xml:space="preserve">Ley 17/2009</w:t>
      </w:r>
      <w:r>
        <w:rPr>
          <w:rFonts w:ascii="Cambria" w:hAnsi="Cambria"/>
        </w:rPr>
        <w:t xml:space="preserve"> (Paraguas) y la </w:t>
      </w:r>
      <w:r>
        <w:rPr>
          <w:rFonts w:ascii="Cambria" w:hAnsi="Cambria"/>
          <w:b/>
          <w:bCs/>
        </w:rPr>
        <w:t xml:space="preserve">Ley 25/2009</w:t>
      </w:r>
      <w:r>
        <w:rPr>
          <w:rFonts w:ascii="Cambria" w:hAnsi="Cambria"/>
        </w:rPr>
        <w:t xml:space="preserve"> (Ómnibus)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tema trata los sistemas estadísticos de referencia, la Balanza de Pagos de Servicios y sus doce rúbricas del </w:t>
      </w:r>
      <w:r>
        <w:rPr>
          <w:rFonts w:ascii="Cambria" w:hAnsi="Cambria"/>
          <w:b/>
          <w:bCs/>
        </w:rPr>
        <w:t xml:space="preserve">MBP6</w:t>
      </w:r>
      <w:r>
        <w:rPr>
          <w:rFonts w:ascii="Cambria" w:hAnsi="Cambria"/>
        </w:rPr>
        <w:t xml:space="preserve">, y las estadísticas complementarias STEC, MoS y FATS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2. LAS ESTADÍSTICAS DE COMERCIO INTERNACIONAL DE SERVICIOS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2.1. Sistemas estadísticos internacionales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SCN 2008</w:t>
      </w:r>
      <w:r>
        <w:rPr>
          <w:rFonts w:ascii="Cambria" w:hAnsi="Cambria"/>
        </w:rPr>
        <w:t xml:space="preserve">: marco de cuentas para el análisis macroeconómico, distingue servicios de transformación y de margen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SEC 2010</w:t>
      </w:r>
      <w:r>
        <w:rPr>
          <w:rFonts w:ascii="Cambria" w:hAnsi="Cambria"/>
        </w:rPr>
        <w:t xml:space="preserve">: marco contable europeo, aprobado por el </w:t>
      </w:r>
      <w:r>
        <w:rPr>
          <w:rFonts w:ascii="Cambria" w:hAnsi="Cambria"/>
          <w:b/>
          <w:bCs/>
        </w:rPr>
        <w:t xml:space="preserve">Reglamento (UE) 549/2013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MBP6</w:t>
      </w:r>
      <w:r>
        <w:rPr>
          <w:rFonts w:ascii="Cambria" w:hAnsi="Cambria"/>
        </w:rPr>
        <w:t xml:space="preserve"> del FMI: en vigor desde 2014, sustituye al MBP5 como marco de las balanzas de pagos en la UE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CCP 2.1</w:t>
      </w:r>
      <w:r>
        <w:rPr>
          <w:rFonts w:ascii="Cambria" w:hAnsi="Cambria"/>
        </w:rPr>
        <w:t xml:space="preserve"> de la ONU: clasifica productos según su naturaleza física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CPA 2.1</w:t>
      </w:r>
      <w:r>
        <w:rPr>
          <w:rFonts w:ascii="Cambria" w:hAnsi="Cambria"/>
        </w:rPr>
        <w:t xml:space="preserve">: versión europea de la CCP, obligatoria en la UE desde el </w:t>
      </w:r>
      <w:r>
        <w:rPr>
          <w:rFonts w:ascii="Cambria" w:hAnsi="Cambria"/>
          <w:b/>
          <w:bCs/>
        </w:rPr>
        <w:t xml:space="preserve">1 de enero de 2015</w:t>
      </w:r>
      <w:r>
        <w:rPr>
          <w:rFonts w:ascii="Cambria" w:hAnsi="Cambria"/>
        </w:rPr>
        <w:t xml:space="preserve">, agrupa por actividad económica de origen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MECIS 2010</w:t>
      </w:r>
      <w:r>
        <w:rPr>
          <w:rFonts w:ascii="Cambria" w:hAnsi="Cambria"/>
        </w:rPr>
        <w:t xml:space="preserve">: elaborado por OCDE, OMC, ONU, FMI, Eurostat, UNCTAD y OMT, incluye la </w:t>
      </w:r>
      <w:r>
        <w:rPr>
          <w:rFonts w:ascii="Cambria" w:hAnsi="Cambria"/>
          <w:b/>
          <w:bCs/>
        </w:rPr>
        <w:t xml:space="preserve">CABPS/EBOPS 2010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2.2. Otros sistemas con fines estadísticos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Clasificación conjunta </w:t>
      </w:r>
      <w:r>
        <w:rPr>
          <w:rFonts w:ascii="Cambria" w:hAnsi="Cambria"/>
          <w:b/>
          <w:bCs/>
        </w:rPr>
        <w:t xml:space="preserve">OCDE/Eurostat</w:t>
      </w:r>
      <w:r>
        <w:rPr>
          <w:rFonts w:ascii="Cambria" w:hAnsi="Cambria"/>
        </w:rPr>
        <w:t xml:space="preserve">, vinculada al MBP6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Manual de indicadores de globalización de la </w:t>
      </w:r>
      <w:r>
        <w:rPr>
          <w:rFonts w:ascii="Cambria" w:hAnsi="Cambria"/>
          <w:b/>
          <w:bCs/>
        </w:rPr>
        <w:t xml:space="preserve">OCDE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3. ESTRUCTURA Y DESCRIPCIÓN DE LA RÚBRICA SERVICIOS EN LA BALANZA DE PAGOS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</w:t>
      </w:r>
      <w:r>
        <w:rPr>
          <w:rFonts w:ascii="Cambria" w:hAnsi="Cambria"/>
          <w:b/>
          <w:bCs/>
        </w:rPr>
        <w:t xml:space="preserve">Balanza de Pagos (BP)</w:t>
      </w:r>
      <w:r>
        <w:rPr>
          <w:rFonts w:ascii="Cambria" w:hAnsi="Cambria"/>
        </w:rPr>
        <w:t xml:space="preserve"> registra las transacciones económicas entre un país y el resto del mundo, en tres cuentas: corriente (comercial, servicios, renta primaria y secundaria), de capital y financiera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Balanza de Servicios la elabora en España el </w:t>
      </w:r>
      <w:r>
        <w:rPr>
          <w:rFonts w:ascii="Cambria" w:hAnsi="Cambria"/>
          <w:b/>
          <w:bCs/>
        </w:rPr>
        <w:t xml:space="preserve">Banco de España</w:t>
      </w:r>
      <w:r>
        <w:rPr>
          <w:rFonts w:ascii="Cambria" w:hAnsi="Cambria"/>
        </w:rPr>
        <w:t xml:space="preserve">, con la </w:t>
      </w:r>
      <w:r>
        <w:rPr>
          <w:rFonts w:ascii="Cambria" w:hAnsi="Cambria"/>
          <w:b/>
          <w:bCs/>
        </w:rPr>
        <w:t xml:space="preserve">ECIS</w:t>
      </w:r>
      <w:r>
        <w:rPr>
          <w:rFonts w:ascii="Cambria" w:hAnsi="Cambria"/>
        </w:rPr>
        <w:t xml:space="preserve"> del INE como fuente principal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3.1. Las doce rúbricas de la Balanza de Servicios (MBP6)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Turismo y viajes</w:t>
      </w:r>
      <w:r>
        <w:rPr>
          <w:rFonts w:ascii="Cambria" w:hAnsi="Cambria"/>
        </w:rPr>
        <w:t xml:space="preserve">: rúbrica de mayor peso en España, estancias inferiores a un año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Mantenimiento y reparación</w:t>
      </w:r>
      <w:r>
        <w:rPr>
          <w:rFonts w:ascii="Cambria" w:hAnsi="Cambria"/>
        </w:rPr>
        <w:t xml:space="preserve"> (novedad del MBP6)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Transporte</w:t>
      </w:r>
      <w:r>
        <w:rPr>
          <w:rFonts w:ascii="Cambria" w:hAnsi="Cambria"/>
        </w:rPr>
        <w:t xml:space="preserve">: fletes, pasajes y servicios auxiliares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Construcción</w:t>
      </w:r>
      <w:r>
        <w:rPr>
          <w:rFonts w:ascii="Cambria" w:hAnsi="Cambria"/>
        </w:rPr>
        <w:t xml:space="preserve">: sin constitución de filial en el país de la obra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Seguros y pensiones</w:t>
      </w:r>
      <w:r>
        <w:rPr>
          <w:rFonts w:ascii="Cambria" w:hAnsi="Cambria"/>
        </w:rPr>
        <w:t xml:space="preserve">: se valoran por el cargo del servicio en la prima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Servicios financieros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Cargos por uso de la propiedad intelectual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Telecomunicaciones, informáticos y de información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Otros servicios empresariales</w:t>
      </w:r>
      <w:r>
        <w:rPr>
          <w:rFonts w:ascii="Cambria" w:hAnsi="Cambria"/>
        </w:rPr>
        <w:t xml:space="preserve">: I+D, consultoría, servicios técnicos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Servicios personales, culturales y recreativos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Bienes y servicios del Gobierno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Manufactura sobre insumos físicos de otros</w:t>
      </w:r>
      <w:r>
        <w:rPr>
          <w:rFonts w:ascii="Cambria" w:hAnsi="Cambria"/>
        </w:rPr>
        <w:t xml:space="preserve"> (novedad del MBP6)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3.2. La Balanza de Servicios española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Papel histórico de compensador del déficit comercial, gracias al superávit estructural de turismo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En 2025: saldo positivo de </w:t>
      </w:r>
      <w:r>
        <w:rPr>
          <w:rFonts w:ascii="Cambria" w:hAnsi="Cambria"/>
          <w:b/>
          <w:bCs/>
        </w:rPr>
        <w:t xml:space="preserve">113.480 M€</w:t>
      </w:r>
      <w:r>
        <w:rPr>
          <w:rFonts w:ascii="Cambria" w:hAnsi="Cambria"/>
        </w:rPr>
        <w:t xml:space="preserve">, ingresos por turismo de </w:t>
      </w:r>
      <w:r>
        <w:rPr>
          <w:rFonts w:ascii="Cambria" w:hAnsi="Cambria"/>
          <w:b/>
          <w:bCs/>
        </w:rPr>
        <w:t xml:space="preserve">105.145 M€</w:t>
      </w:r>
      <w:r>
        <w:rPr>
          <w:rFonts w:ascii="Cambria" w:hAnsi="Cambria"/>
        </w:rPr>
        <w:t xml:space="preserve">, récord de </w:t>
      </w:r>
      <w:r>
        <w:rPr>
          <w:rFonts w:ascii="Cambria" w:hAnsi="Cambria"/>
          <w:b/>
          <w:bCs/>
        </w:rPr>
        <w:t xml:space="preserve">96,8 millones</w:t>
      </w:r>
      <w:r>
        <w:rPr>
          <w:rFonts w:ascii="Cambria" w:hAnsi="Cambria"/>
        </w:rPr>
        <w:t xml:space="preserve"> de turistas extranjeros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Capacidad de financiación frente al exterior de </w:t>
      </w:r>
      <w:r>
        <w:rPr>
          <w:rFonts w:ascii="Cambria" w:hAnsi="Cambria"/>
          <w:b/>
          <w:bCs/>
        </w:rPr>
        <w:t xml:space="preserve">67.400 M€</w:t>
      </w:r>
      <w:r>
        <w:rPr>
          <w:rFonts w:ascii="Cambria" w:hAnsi="Cambria"/>
        </w:rPr>
        <w:t xml:space="preserve"> (</w:t>
      </w:r>
      <w:r>
        <w:rPr>
          <w:rFonts w:ascii="Cambria" w:hAnsi="Cambria"/>
          <w:b/>
          <w:bCs/>
        </w:rPr>
        <w:t xml:space="preserve">4%</w:t>
      </w:r>
      <w:r>
        <w:rPr>
          <w:rFonts w:ascii="Cambria" w:hAnsi="Cambria"/>
        </w:rPr>
        <w:t xml:space="preserve"> del PIB), mantenida desde </w:t>
      </w:r>
      <w:r>
        <w:rPr>
          <w:rFonts w:ascii="Cambria" w:hAnsi="Cambria"/>
          <w:b/>
          <w:bCs/>
        </w:rPr>
        <w:t xml:space="preserve">2013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</w:t>
      </w:r>
      <w:r>
        <w:rPr>
          <w:rFonts w:ascii="Cambria" w:hAnsi="Cambria"/>
          <w:b/>
          <w:bCs/>
        </w:rPr>
        <w:t xml:space="preserve">CABPS/EBOPS 2010</w:t>
      </w:r>
      <w:r>
        <w:rPr>
          <w:rFonts w:ascii="Cambria" w:hAnsi="Cambria"/>
        </w:rPr>
        <w:t xml:space="preserve"> amplía el detalle por partidas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4. LA ENCUESTA DE COMERCIO INTERNACIONAL DE SERVICIOS (ECIS): SITUACIÓN ACTUAL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Elaborada por el INE desde </w:t>
      </w:r>
      <w:r>
        <w:rPr>
          <w:rFonts w:ascii="Cambria" w:hAnsi="Cambria"/>
          <w:b/>
          <w:bCs/>
        </w:rPr>
        <w:t xml:space="preserve">2015</w:t>
      </w:r>
      <w:r>
        <w:rPr>
          <w:rFonts w:ascii="Cambria" w:hAnsi="Cambria"/>
        </w:rPr>
        <w:t xml:space="preserve">, sustituye a los antiguos </w:t>
      </w:r>
      <w:r>
        <w:rPr>
          <w:rFonts w:ascii="Cambria" w:hAnsi="Cambria"/>
          <w:b/>
          <w:bCs/>
        </w:rPr>
        <w:t xml:space="preserve">ICES</w:t>
      </w:r>
      <w:r>
        <w:rPr>
          <w:rFonts w:ascii="Cambria" w:hAnsi="Cambria"/>
        </w:rPr>
        <w:t xml:space="preserve">, mide exportaciones e importaciones de servicios no turísticos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Dejó de publicarse con carácter público: últimos datos del 4º trimestre y del año 2022, difundidos en octubre de 2023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INE la sigue elaborando internamente como input de la Balanza de Pagos, las Cuentas Nacionales y las nuevas STEC y MoS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reforma responde al </w:t>
      </w:r>
      <w:r>
        <w:rPr>
          <w:rFonts w:ascii="Cambria" w:hAnsi="Cambria"/>
          <w:b/>
          <w:bCs/>
        </w:rPr>
        <w:t xml:space="preserve">Reglamento (UE) 2019/2152</w:t>
      </w:r>
      <w:r>
        <w:rPr>
          <w:rFonts w:ascii="Cambria" w:hAnsi="Cambria"/>
        </w:rPr>
        <w:t xml:space="preserve">, que desde 2022 impone el </w:t>
      </w:r>
      <w:r>
        <w:rPr>
          <w:rFonts w:ascii="Cambria" w:hAnsi="Cambria"/>
          <w:b/>
          <w:bCs/>
        </w:rPr>
        <w:t xml:space="preserve">Modelo 349 del IVA</w:t>
      </w:r>
      <w:r>
        <w:rPr>
          <w:rFonts w:ascii="Cambria" w:hAnsi="Cambria"/>
        </w:rPr>
        <w:t xml:space="preserve"> como instrumento de captura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5. LAS NUEVAS ESTADÍSTICAS: STEC Y MoS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</w:t>
      </w:r>
      <w:r>
        <w:rPr>
          <w:rFonts w:ascii="Cambria" w:hAnsi="Cambria"/>
          <w:b/>
          <w:bCs/>
        </w:rPr>
        <w:t xml:space="preserve">Reglamento (UE) 2019/2152</w:t>
      </w:r>
      <w:r>
        <w:rPr>
          <w:rFonts w:ascii="Cambria" w:hAnsi="Cambria"/>
        </w:rPr>
        <w:t xml:space="preserve"> crea las obligaciones </w:t>
      </w:r>
      <w:r>
        <w:rPr>
          <w:rFonts w:ascii="Cambria" w:hAnsi="Cambria"/>
          <w:b/>
          <w:bCs/>
        </w:rPr>
        <w:t xml:space="preserve">STEC</w:t>
      </w:r>
      <w:r>
        <w:rPr>
          <w:rFonts w:ascii="Cambria" w:hAnsi="Cambria"/>
        </w:rPr>
        <w:t xml:space="preserve"> y </w:t>
      </w:r>
      <w:r>
        <w:rPr>
          <w:rFonts w:ascii="Cambria" w:hAnsi="Cambria"/>
          <w:b/>
          <w:bCs/>
        </w:rPr>
        <w:t xml:space="preserve">MoS</w:t>
      </w:r>
      <w:r>
        <w:rPr>
          <w:rFonts w:ascii="Cambria" w:hAnsi="Cambria"/>
        </w:rPr>
        <w:t xml:space="preserve">, que sustituyen a la ECIS como publicación pública de referencia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5.1. STEC (Estadísticas de Comercio de Servicios por Características de las Empresas)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Vinculan comercio de servicios con las empresas, desglose por actividad (</w:t>
      </w:r>
      <w:r>
        <w:rPr>
          <w:rFonts w:ascii="Cambria" w:hAnsi="Cambria"/>
          <w:b/>
          <w:bCs/>
        </w:rPr>
        <w:t xml:space="preserve">NACE Rev. 2</w:t>
      </w:r>
      <w:r>
        <w:rPr>
          <w:rFonts w:ascii="Cambria" w:hAnsi="Cambria"/>
        </w:rPr>
        <w:t xml:space="preserve">), tamaño y país socio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Eurostat difundió datos voluntarios desde julio de 2022, oficiales desde octubre de 2024 (referencia 2022) y de 2023 en el tercer trimestre de 2025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En España, el INE las publica como </w:t>
      </w:r>
      <w:r>
        <w:rPr>
          <w:rFonts w:ascii="Cambria" w:hAnsi="Cambria"/>
          <w:b/>
          <w:bCs/>
        </w:rPr>
        <w:t xml:space="preserve">TEC</w:t>
      </w:r>
      <w:r>
        <w:rPr>
          <w:rFonts w:ascii="Cambria" w:hAnsi="Cambria"/>
        </w:rPr>
        <w:t xml:space="preserve">, con periodicidad anual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5.2. MoS (Estadísticas por Modos de Suministro)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Desagregan el comercio según los cuatro modos del </w:t>
      </w:r>
      <w:r>
        <w:rPr>
          <w:rFonts w:ascii="Cambria" w:hAnsi="Cambria"/>
          <w:b/>
          <w:bCs/>
        </w:rPr>
        <w:t xml:space="preserve">GATS</w:t>
      </w:r>
      <w:r>
        <w:rPr>
          <w:rFonts w:ascii="Cambria" w:hAnsi="Cambria"/>
        </w:rPr>
        <w:t xml:space="preserve">: modos 1, 2 y 4 en la Balanza de Pagos, modo 3 (presencia comercial) en las </w:t>
      </w:r>
      <w:r>
        <w:rPr>
          <w:rFonts w:ascii="Cambria" w:hAnsi="Cambria"/>
          <w:b/>
          <w:bCs/>
        </w:rPr>
        <w:t xml:space="preserve">FATS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Eurostat publicó datos experimentales en febrero de 2023, primera transmisión oficial en octubre de 2024 (referencia 2023)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En España, el INE publicó los primeros datos en enero de 2025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Metodología del </w:t>
      </w:r>
      <w:r>
        <w:rPr>
          <w:rFonts w:ascii="Cambria" w:hAnsi="Cambria"/>
          <w:b/>
          <w:bCs/>
        </w:rPr>
        <w:t xml:space="preserve">modelo Eurostat-OMC</w:t>
      </w:r>
      <w:r>
        <w:rPr>
          <w:rFonts w:ascii="Cambria" w:hAnsi="Cambria"/>
        </w:rPr>
        <w:t xml:space="preserve">, con coeficientes de encuestas empresariales, SBS, registros y datos fiscales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6. LAS ESTADÍSTICAS FATS Y SU INTEGRACIÓN EN EL NUEVO MARCO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Las </w:t>
      </w:r>
      <w:r>
        <w:rPr>
          <w:rFonts w:ascii="Cambria" w:hAnsi="Cambria"/>
          <w:b/>
          <w:bCs/>
        </w:rPr>
        <w:t xml:space="preserve">FATS</w:t>
      </w:r>
      <w:r>
        <w:rPr>
          <w:rFonts w:ascii="Cambria" w:hAnsi="Cambria"/>
        </w:rPr>
        <w:t xml:space="preserve"> describen las operaciones de las empresas de inversión directa extranjera, invisibles en la Balanza de Pagos por ser transacciones interiores de una filial residente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GATS considera estas ventas Modo 3 de comercio internacional de servicios, dominante con en torno al </w:t>
      </w:r>
      <w:r>
        <w:rPr>
          <w:rFonts w:ascii="Cambria" w:hAnsi="Cambria"/>
          <w:b/>
          <w:bCs/>
        </w:rPr>
        <w:t xml:space="preserve">60%</w:t>
      </w:r>
      <w:r>
        <w:rPr>
          <w:rFonts w:ascii="Cambria" w:hAnsi="Cambria"/>
        </w:rPr>
        <w:t xml:space="preserve"> del suministro total según OMC y Eurostat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6.1. Concepto de filial extranjera y criterio de control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Filial extranjera: empresa controlada por un centro de decisión en otro país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Control: posesión, directa o indirecta, de más del </w:t>
      </w:r>
      <w:r>
        <w:rPr>
          <w:rFonts w:ascii="Cambria" w:hAnsi="Cambria"/>
          <w:b/>
          <w:bCs/>
        </w:rPr>
        <w:t xml:space="preserve">50%</w:t>
      </w:r>
      <w:r>
        <w:rPr>
          <w:rFonts w:ascii="Cambria" w:hAnsi="Cambria"/>
        </w:rPr>
        <w:t xml:space="preserve"> del capital social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Las FATS se atribuyen a la </w:t>
      </w:r>
      <w:r>
        <w:rPr>
          <w:rFonts w:ascii="Cambria" w:hAnsi="Cambria"/>
          <w:b/>
          <w:bCs/>
        </w:rPr>
        <w:t xml:space="preserve">unidad institucional de control último (UCI)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6.2. Categorías de las FATS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Inward FATS</w:t>
      </w:r>
      <w:r>
        <w:rPr>
          <w:rFonts w:ascii="Cambria" w:hAnsi="Cambria"/>
        </w:rPr>
        <w:t xml:space="preserve">: filiales extranjeras en el país, en España </w:t>
      </w:r>
      <w:r>
        <w:rPr>
          <w:rFonts w:ascii="Cambria" w:hAnsi="Cambria"/>
          <w:b/>
          <w:bCs/>
        </w:rPr>
        <w:t xml:space="preserve">FILINT</w:t>
      </w:r>
      <w:r>
        <w:rPr>
          <w:rFonts w:ascii="Cambria" w:hAnsi="Cambria"/>
        </w:rPr>
        <w:t xml:space="preserve"> (INE, anual, por actividad y país de la UCI)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Outward FATS</w:t>
      </w:r>
      <w:r>
        <w:rPr>
          <w:rFonts w:ascii="Cambria" w:hAnsi="Cambria"/>
        </w:rPr>
        <w:t xml:space="preserve">: filiales nacionales en el exterior, en España </w:t>
      </w:r>
      <w:r>
        <w:rPr>
          <w:rFonts w:ascii="Cambria" w:hAnsi="Cambria"/>
          <w:b/>
          <w:bCs/>
        </w:rPr>
        <w:t xml:space="preserve">FILEXT</w:t>
      </w:r>
      <w:r>
        <w:rPr>
          <w:rFonts w:ascii="Cambria" w:hAnsi="Cambria"/>
        </w:rPr>
        <w:t xml:space="preserve"> (INE, anual)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Variables: número de empresas, cifra de negocios, valor añadido, empleo, exportaciones e importaciones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6.3. Marco regulatorio y relación con las demás estadísticas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Compilación inicialmente voluntaria, obligatoria desde el </w:t>
      </w:r>
      <w:r>
        <w:rPr>
          <w:rFonts w:ascii="Cambria" w:hAnsi="Cambria"/>
          <w:b/>
          <w:bCs/>
        </w:rPr>
        <w:t xml:space="preserve">Reglamento (CE) 716/2007</w:t>
      </w:r>
      <w:r>
        <w:rPr>
          <w:rFonts w:ascii="Cambria" w:hAnsi="Cambria"/>
        </w:rPr>
        <w:t xml:space="preserve">, sustituido por el </w:t>
      </w:r>
      <w:r>
        <w:rPr>
          <w:rFonts w:ascii="Cambria" w:hAnsi="Cambria"/>
          <w:b/>
          <w:bCs/>
        </w:rPr>
        <w:t xml:space="preserve">Reglamento (UE) 2019/2152</w:t>
      </w:r>
      <w:r>
        <w:rPr>
          <w:rFonts w:ascii="Cambria" w:hAnsi="Cambria"/>
        </w:rPr>
        <w:t xml:space="preserve">, que integra FATS, STEC y MoS en un marco unificado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FILINT y FILEXT no se discontinúan, son la fuente del Modo 3 de las MoS. En España las FATS funcionan desde </w:t>
      </w:r>
      <w:r>
        <w:rPr>
          <w:rFonts w:ascii="Cambria" w:hAnsi="Cambria"/>
          <w:b/>
          <w:bCs/>
        </w:rPr>
        <w:t xml:space="preserve">2008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Las estadísticas de </w:t>
      </w:r>
      <w:r>
        <w:rPr>
          <w:rFonts w:ascii="Cambria" w:hAnsi="Cambria"/>
          <w:b/>
          <w:bCs/>
        </w:rPr>
        <w:t xml:space="preserve">IED</w:t>
      </w:r>
      <w:r>
        <w:rPr>
          <w:rFonts w:ascii="Cambria" w:hAnsi="Cambria"/>
        </w:rPr>
        <w:t xml:space="preserve"> son indicador alternativo de presencia comercial cuando no hay FATS: la IED mide el capital, las FATS la actividad de las empresas resultantes. En España las publica la Dirección General de Política Comercial y Seguridad Económica (MECE) a través de </w:t>
      </w:r>
      <w:r>
        <w:rPr>
          <w:rFonts w:ascii="Cambria" w:hAnsi="Cambria"/>
          <w:b/>
          <w:bCs/>
        </w:rPr>
        <w:t xml:space="preserve">DATAINVEX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Cuadro integrador: modos 1, 2 y 4 en la Balanza de Pagos (ECIS como fuente interna no publicada desde 2023), modo 3 en las FATS, desagregación por modo en las MoS y por características empresariales en las STEC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7. CONCLUSIÓN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Balanza de Pagos de Servicios, con las doce rúbricas del MBP6, sigue siendo el instrumento macroeconómico de referencia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incapacidad de la balanza de pagos para capturar el Modo 3 del GATS y la demanda de información empresarial han impulsado las estadísticas complementarias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</w:t>
      </w:r>
      <w:r>
        <w:rPr>
          <w:rFonts w:ascii="Cambria" w:hAnsi="Cambria"/>
          <w:b/>
          <w:bCs/>
        </w:rPr>
        <w:t xml:space="preserve">Reglamento (UE) 2019/2152</w:t>
      </w:r>
      <w:r>
        <w:rPr>
          <w:rFonts w:ascii="Cambria" w:hAnsi="Cambria"/>
        </w:rPr>
        <w:t xml:space="preserve"> consolida el nuevo ecosistema: FATS revalorizadas como fuente del Modo 3, y STEC y MoS sustituyendo a la ECIS desde 2024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Para España, con Balanza de Servicios superavitaria y turismo como principal instrumento de equilibrio exterior, disponer de estadísticas granulares y armonizadas es estratégicamente indispensable</w:t>
      </w:r>
    </w:p>
    <w:sectPr w:rsidR="00A65383" w:rsidRPr="007114D7">
      <w:footerReference w:type="default" r:id="rId900"/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43E737" w14:textId="77777777" w:rsidR="00F85B76" w:rsidRDefault="00F85B76" w:rsidP="00F85B76">
      <w:pPr>
        <w:spacing w:after="0" w:line="240" w:lineRule="auto"/>
      </w:pPr>
      <w:r>
        <w:separator/>
      </w:r>
    </w:p>
  </w:endnote>
  <w:endnote w:type="continuationSeparator" w:id="0">
    <w:p w14:paraId="147C91B0" w14:textId="77777777" w:rsidR="00F85B76" w:rsidRDefault="00F85B76" w:rsidP="00F85B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</w:fonts>
</file>

<file path=word/footer1.xml><?xml version="1.0" encoding="utf-8"?>
<w:ftr xmlns:w="http://schemas.openxmlformats.org/wordprocessingml/2006/main">
  <w:p>
    <w:pPr>
      <w:pStyle w:val="Piedepgina"/>
      <w:jc w:val="center"/>
      <w:rPr>
        <w:rFonts w:ascii="Palatino Linotype" w:eastAsia="Palatino Linotype" w:hAnsi="Palatino Linotype" w:cs="Palatino Linotype"/>
        <w:b/>
        <w:bCs/>
        <w:color w:val="000000"/>
        <w:sz w:val="24"/>
        <w:szCs w:val="24"/>
      </w:rPr>
    </w:pPr>
    <w:r>
      <w:rPr>
        <w:rFonts w:ascii="Palatino Linotype" w:eastAsia="Palatino Linotype" w:hAnsi="Palatino Linotype" w:cs="Palatino Linotype"/>
        <w:b/>
        <w:bCs/>
        <w:color w:val="000000"/>
        <w:sz w:val="24"/>
        <w:szCs w:val="24"/>
      </w:rPr>
      <w:t>SERGIO ARGUDO SANTIAGO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8BA500" w14:textId="77777777" w:rsidR="00F85B76" w:rsidRDefault="00F85B76" w:rsidP="00F85B76">
      <w:pPr>
        <w:spacing w:after="0" w:line="240" w:lineRule="auto"/>
      </w:pPr>
      <w:r>
        <w:separator/>
      </w:r>
    </w:p>
  </w:footnote>
  <w:footnote w:type="continuationSeparator" w:id="0">
    <w:p w14:paraId="5EBB74E5" w14:textId="77777777" w:rsidR="00F85B76" w:rsidRDefault="00F85B76" w:rsidP="00F85B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Encabezado"/>
      <w:jc w:val="both"/>
      <w:rPr>
        <w:rFonts w:ascii="Palatino Linotype" w:hAnsi="Palatino Linotype"/>
        <w:i/>
        <w:iCs/>
      </w:rPr>
    </w:pPr>
    <w:r>
      <w:rPr>
        <w:rFonts w:ascii="Palatino Linotype" w:hAnsi="Palatino Linotype"/>
        <w:i/>
        <w:iCs/>
      </w:rPr>
      <w:t xml:space="preserve">TEMA 22 –Las estadísticas de comercio internacional de servicios. Estructura y descripción de la rúbrica servicios en la Balanza de Pagos. Otras estadísticas para evaluar el comercio de servicios: las FATS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C82A5E"/>
    <w:multiLevelType w:val="multilevel"/>
    <w:tmpl w:val="17686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BA086D"/>
    <w:multiLevelType w:val="multilevel"/>
    <w:tmpl w:val="C6368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764527"/>
    <w:multiLevelType w:val="multilevel"/>
    <w:tmpl w:val="4484D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B9671D"/>
    <w:multiLevelType w:val="multilevel"/>
    <w:tmpl w:val="FF7AB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D145E70"/>
    <w:multiLevelType w:val="multilevel"/>
    <w:tmpl w:val="4CF84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8082AA3"/>
    <w:multiLevelType w:val="multilevel"/>
    <w:tmpl w:val="E6004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FE72879"/>
    <w:multiLevelType w:val="multilevel"/>
    <w:tmpl w:val="C3DA2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09A5A7F"/>
    <w:multiLevelType w:val="multilevel"/>
    <w:tmpl w:val="EE363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6890683"/>
    <w:multiLevelType w:val="multilevel"/>
    <w:tmpl w:val="F0EAD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33F2D55"/>
    <w:multiLevelType w:val="multilevel"/>
    <w:tmpl w:val="BCE41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AAC63FF"/>
    <w:multiLevelType w:val="multilevel"/>
    <w:tmpl w:val="10A62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C9A721B"/>
    <w:multiLevelType w:val="multilevel"/>
    <w:tmpl w:val="9654A2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E9D13DD"/>
    <w:multiLevelType w:val="multilevel"/>
    <w:tmpl w:val="88A6E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62984031">
    <w:abstractNumId w:val="7"/>
  </w:num>
  <w:num w:numId="2" w16cid:durableId="936329550">
    <w:abstractNumId w:val="4"/>
  </w:num>
  <w:num w:numId="3" w16cid:durableId="11223434">
    <w:abstractNumId w:val="0"/>
  </w:num>
  <w:num w:numId="4" w16cid:durableId="1698307743">
    <w:abstractNumId w:val="12"/>
  </w:num>
  <w:num w:numId="5" w16cid:durableId="1213886216">
    <w:abstractNumId w:val="11"/>
  </w:num>
  <w:num w:numId="6" w16cid:durableId="1037045334">
    <w:abstractNumId w:val="6"/>
  </w:num>
  <w:num w:numId="7" w16cid:durableId="638070075">
    <w:abstractNumId w:val="3"/>
  </w:num>
  <w:num w:numId="8" w16cid:durableId="616715768">
    <w:abstractNumId w:val="10"/>
  </w:num>
  <w:num w:numId="9" w16cid:durableId="1616985504">
    <w:abstractNumId w:val="9"/>
  </w:num>
  <w:num w:numId="10" w16cid:durableId="1055738181">
    <w:abstractNumId w:val="8"/>
  </w:num>
  <w:num w:numId="11" w16cid:durableId="928273277">
    <w:abstractNumId w:val="1"/>
  </w:num>
  <w:num w:numId="12" w16cid:durableId="919099836">
    <w:abstractNumId w:val="2"/>
  </w:num>
  <w:num w:numId="13" w16cid:durableId="52247863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5B76"/>
    <w:rsid w:val="00457D88"/>
    <w:rsid w:val="005803BC"/>
    <w:rsid w:val="00600D28"/>
    <w:rsid w:val="00656837"/>
    <w:rsid w:val="006A0D39"/>
    <w:rsid w:val="007114D7"/>
    <w:rsid w:val="00975640"/>
    <w:rsid w:val="00A65383"/>
    <w:rsid w:val="00A8675C"/>
    <w:rsid w:val="00BB1DEC"/>
    <w:rsid w:val="00C12CFD"/>
    <w:rsid w:val="00D45530"/>
    <w:rsid w:val="00E15422"/>
    <w:rsid w:val="00E7657A"/>
    <w:rsid w:val="00EE6C5F"/>
    <w:rsid w:val="00F85B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DAF6C1"/>
  <w15:chartTrackingRefBased/>
  <w15:docId w15:val="{B64D109C-3694-4C93-A841-AE8DEB4F80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85B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85B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85B7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85B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85B7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85B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85B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85B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85B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A8675C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F85B7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F85B7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85B7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85B7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85B7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85B7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85B7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85B7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85B7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85B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85B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85B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85B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85B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85B76"/>
    <w:rPr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sid w:val="00F85B7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85B7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85B7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85B76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F85B7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85B76"/>
  </w:style>
  <w:style w:type="paragraph" w:styleId="Piedepgina">
    <w:name w:val="footer"/>
    <w:basedOn w:val="Normal"/>
    <w:link w:val="PiedepginaCar"/>
    <w:uiPriority w:val="99"/>
    <w:unhideWhenUsed/>
    <w:rsid w:val="00F85B7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85B7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90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6</Pages>
  <Words>1112</Words>
  <Characters>6119</Characters>
  <Application>Microsoft Office Word</Application>
  <DocSecurity>0</DocSecurity>
  <Lines>50</Lines>
  <Paragraphs>14</Paragraphs>
  <ScaleCrop>false</ScaleCrop>
  <Company/>
  <LinksUpToDate>false</LinksUpToDate>
  <CharactersWithSpaces>7217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Argudo Santiago, Sergio</dc:creator>
  <cp:keywords/>
  <dc:description/>
  <cp:lastModifiedBy>Argudo Santiago, Sergio</cp:lastModifiedBy>
  <cp:revision>9</cp:revision>
  <dcterms:created xsi:type="dcterms:W3CDTF">2025-11-21T17:54:00Z</dcterms:created>
  <dcterms:modified xsi:type="dcterms:W3CDTF">2026-01-14T14:24:00Z</dcterms:modified>
</cp:coreProperties>
</file>