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servicios es el pilar de la economía española. Su importancia internacional se extiende al papel de la balanza de servicios como </w:t>
      </w:r>
      <w:r>
        <w:rPr>
          <w:rFonts w:ascii="Cambria" w:hAnsi="Cambria"/>
          <w:b/>
          <w:bCs/>
        </w:rPr>
        <w:t xml:space="preserve">compensador estructural</w:t>
      </w:r>
      <w:r>
        <w:rPr>
          <w:rFonts w:ascii="Cambria" w:hAnsi="Cambria"/>
        </w:rPr>
        <w:t xml:space="preserve"> del déficit comercial de bienes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superávit de turismo y viajes, la robustez de los servicios empresariales y el dinamismo del transporte configuran uno de los principales activos macroeconómicos españoles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estadístico lo articulan el </w:t>
      </w:r>
      <w:r>
        <w:rPr>
          <w:rFonts w:ascii="Cambria" w:hAnsi="Cambria"/>
          <w:b/>
          <w:bCs/>
        </w:rPr>
        <w:t xml:space="preserve">Banco de España</w:t>
      </w:r>
      <w:r>
        <w:rPr>
          <w:rFonts w:ascii="Cambria" w:hAnsi="Cambria"/>
        </w:rPr>
        <w:t xml:space="preserve"> (Balanza de Pagos) y el </w:t>
      </w:r>
      <w:r>
        <w:rPr>
          <w:rFonts w:ascii="Cambria" w:hAnsi="Cambria"/>
          <w:b/>
          <w:bCs/>
        </w:rPr>
        <w:t xml:space="preserve">INE</w:t>
      </w:r>
      <w:r>
        <w:rPr>
          <w:rFonts w:ascii="Cambria" w:hAnsi="Cambria"/>
        </w:rPr>
        <w:t xml:space="preserve">, con </w:t>
      </w:r>
      <w:r>
        <w:rPr>
          <w:rFonts w:ascii="Cambria" w:hAnsi="Cambria"/>
          <w:b/>
          <w:bCs/>
        </w:rPr>
        <w:t xml:space="preserve">FRONTUR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EGATUR</w:t>
      </w:r>
      <w:r>
        <w:rPr>
          <w:rFonts w:ascii="Cambria" w:hAnsi="Cambria"/>
        </w:rPr>
        <w:t xml:space="preserve"> y las encuestas de ocupación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se estructura en tres bloques: comercio exterior de servicios, el turismo como sector estratégico y el sistema estadístico turístico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ANÁLISIS DEL COMERCIO EXTERIOR DE SERVICIOS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Balanza de Servicios española ha sido superavitaria de forma ininterrumpida, contrapeso del déficit de bienes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2025</w:t>
      </w:r>
      <w:r>
        <w:rPr>
          <w:rFonts w:ascii="Cambria" w:hAnsi="Cambria"/>
        </w:rPr>
        <w:t xml:space="preserve">, el superávit alcanzó los </w:t>
      </w:r>
      <w:r>
        <w:rPr>
          <w:rFonts w:ascii="Cambria" w:hAnsi="Cambria"/>
          <w:b/>
          <w:bCs/>
        </w:rPr>
        <w:t xml:space="preserve">113.630 M€</w:t>
      </w:r>
      <w:r>
        <w:rPr>
          <w:rFonts w:ascii="Cambria" w:hAnsi="Cambria"/>
        </w:rPr>
        <w:t xml:space="preserve">, con ingresos por turismo de </w:t>
      </w:r>
      <w:r>
        <w:rPr>
          <w:rFonts w:ascii="Cambria" w:hAnsi="Cambria"/>
          <w:b/>
          <w:bCs/>
        </w:rPr>
        <w:t xml:space="preserve">105.145 M€</w:t>
      </w:r>
      <w:r>
        <w:rPr>
          <w:rFonts w:ascii="Cambria" w:hAnsi="Cambria"/>
        </w:rPr>
        <w:t xml:space="preserve">, reflejo de un récord de </w:t>
      </w:r>
      <w:r>
        <w:rPr>
          <w:rFonts w:ascii="Cambria" w:hAnsi="Cambria"/>
          <w:b/>
          <w:bCs/>
        </w:rPr>
        <w:t xml:space="preserve">96,8 millones</w:t>
      </w:r>
      <w:r>
        <w:rPr>
          <w:rFonts w:ascii="Cambria" w:hAnsi="Cambria"/>
        </w:rPr>
        <w:t xml:space="preserve"> de turistas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capacidad de financiación de España frente al exterior fue de </w:t>
      </w:r>
      <w:r>
        <w:rPr>
          <w:rFonts w:ascii="Cambria" w:hAnsi="Cambria"/>
          <w:b/>
          <w:bCs/>
        </w:rPr>
        <w:t xml:space="preserve">67.400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4 % del PIB</w:t>
      </w:r>
      <w:r>
        <w:rPr>
          <w:rFonts w:ascii="Cambria" w:hAnsi="Cambria"/>
        </w:rPr>
        <w:t xml:space="preserve">), mantenida desde 2013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Exportaciones e importaciones de servicios no turísticos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Exportaciones: </w:t>
      </w:r>
      <w:r>
        <w:rPr>
          <w:rFonts w:ascii="Cambria" w:hAnsi="Cambria"/>
          <w:b/>
          <w:bCs/>
        </w:rPr>
        <w:t xml:space="preserve">120.573 M€</w:t>
      </w:r>
      <w:r>
        <w:rPr>
          <w:rFonts w:ascii="Cambria" w:hAnsi="Cambria"/>
        </w:rPr>
        <w:t xml:space="preserve"> en 2025 (</w:t>
      </w:r>
      <w:r>
        <w:rPr>
          <w:rFonts w:ascii="Cambria" w:hAnsi="Cambria"/>
          <w:b/>
          <w:bCs/>
        </w:rPr>
        <w:t xml:space="preserve">+15,1 %</w:t>
      </w:r>
      <w:r>
        <w:rPr>
          <w:rFonts w:ascii="Cambria" w:hAnsi="Cambria"/>
        </w:rPr>
        <w:t xml:space="preserve">), lideradas por </w:t>
      </w:r>
      <w:r>
        <w:rPr>
          <w:rFonts w:ascii="Cambria" w:hAnsi="Cambria"/>
          <w:b/>
          <w:bCs/>
        </w:rPr>
        <w:t xml:space="preserve">otros servicios empresariales</w:t>
      </w:r>
      <w:r>
        <w:rPr>
          <w:rFonts w:ascii="Cambria" w:hAnsi="Cambria"/>
        </w:rPr>
        <w:t xml:space="preserve"> (38,8 %), </w:t>
      </w:r>
      <w:r>
        <w:rPr>
          <w:rFonts w:ascii="Cambria" w:hAnsi="Cambria"/>
          <w:b/>
          <w:bCs/>
        </w:rPr>
        <w:t xml:space="preserve">telecomunicaciones e informática</w:t>
      </w:r>
      <w:r>
        <w:rPr>
          <w:rFonts w:ascii="Cambria" w:hAnsi="Cambria"/>
        </w:rPr>
        <w:t xml:space="preserve"> (19,5 %) y </w:t>
      </w:r>
      <w:r>
        <w:rPr>
          <w:rFonts w:ascii="Cambria" w:hAnsi="Cambria"/>
          <w:b/>
          <w:bCs/>
        </w:rPr>
        <w:t xml:space="preserve">transporte</w:t>
      </w:r>
      <w:r>
        <w:rPr>
          <w:rFonts w:ascii="Cambria" w:hAnsi="Cambria"/>
        </w:rPr>
        <w:t xml:space="preserve"> (19,2 %, +27,8 %). Principales destinos: Francia, Reino Unido y Alemania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Importaciones: </w:t>
      </w:r>
      <w:r>
        <w:rPr>
          <w:rFonts w:ascii="Cambria" w:hAnsi="Cambria"/>
          <w:b/>
          <w:bCs/>
        </w:rPr>
        <w:t xml:space="preserve">77.336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+6,4 %</w:t>
      </w:r>
      <w:r>
        <w:rPr>
          <w:rFonts w:ascii="Cambria" w:hAnsi="Cambria"/>
        </w:rPr>
        <w:t xml:space="preserve">), lideradas por </w:t>
      </w:r>
      <w:r>
        <w:rPr>
          <w:rFonts w:ascii="Cambria" w:hAnsi="Cambria"/>
          <w:b/>
          <w:bCs/>
        </w:rPr>
        <w:t xml:space="preserve">servicios empresariales</w:t>
      </w:r>
      <w:r>
        <w:rPr>
          <w:rFonts w:ascii="Cambria" w:hAnsi="Cambria"/>
        </w:rPr>
        <w:t xml:space="preserve"> (43,9 %), </w:t>
      </w:r>
      <w:r>
        <w:rPr>
          <w:rFonts w:ascii="Cambria" w:hAnsi="Cambria"/>
          <w:b/>
          <w:bCs/>
        </w:rPr>
        <w:t xml:space="preserve">telecomunicaciones e informática</w:t>
      </w:r>
      <w:r>
        <w:rPr>
          <w:rFonts w:ascii="Cambria" w:hAnsi="Cambria"/>
        </w:rPr>
        <w:t xml:space="preserve"> (15,4 %) y </w:t>
      </w:r>
      <w:r>
        <w:rPr>
          <w:rFonts w:ascii="Cambria" w:hAnsi="Cambria"/>
          <w:b/>
          <w:bCs/>
        </w:rPr>
        <w:t xml:space="preserve">transporte</w:t>
      </w:r>
      <w:r>
        <w:rPr>
          <w:rFonts w:ascii="Cambria" w:hAnsi="Cambria"/>
        </w:rPr>
        <w:t xml:space="preserve"> (12,7 %, -18,6 %). Principales orígenes: Francia, Alemania y Reino Unido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Inversión Extranjera Directa vinculada al sector servicios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IED es un indicador complementario, ya que la mayoría de los flujos recibidos por España se concentran en servicios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UNCTAD</w:t>
      </w:r>
      <w:r>
        <w:rPr>
          <w:rFonts w:ascii="Cambria" w:hAnsi="Cambria"/>
        </w:rPr>
        <w:t xml:space="preserve">, España recibió en 2023 una IED de </w:t>
      </w:r>
      <w:r>
        <w:rPr>
          <w:rFonts w:ascii="Cambria" w:hAnsi="Cambria"/>
          <w:b/>
          <w:bCs/>
        </w:rPr>
        <w:t xml:space="preserve">46.656 M$</w:t>
      </w:r>
      <w:r>
        <w:rPr>
          <w:rFonts w:ascii="Cambria" w:hAnsi="Cambria"/>
        </w:rPr>
        <w:t xml:space="preserve">, moderándose en 2024 hasta </w:t>
      </w:r>
      <w:r>
        <w:rPr>
          <w:rFonts w:ascii="Cambria" w:hAnsi="Cambria"/>
          <w:b/>
          <w:bCs/>
        </w:rPr>
        <w:t xml:space="preserve">30.543 M$</w:t>
      </w:r>
      <w:r>
        <w:rPr>
          <w:rFonts w:ascii="Cambria" w:hAnsi="Cambria"/>
        </w:rPr>
        <w:t xml:space="preserve">, y emitió al exterior </w:t>
      </w:r>
      <w:r>
        <w:rPr>
          <w:rFonts w:ascii="Cambria" w:hAnsi="Cambria"/>
          <w:b/>
          <w:bCs/>
        </w:rPr>
        <w:t xml:space="preserve">49.235 M$</w:t>
      </w:r>
      <w:r>
        <w:rPr>
          <w:rFonts w:ascii="Cambria" w:hAnsi="Cambria"/>
        </w:rPr>
        <w:t xml:space="preserve"> en 2024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EL TURISMO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OMT, el turismo representa entre el </w:t>
      </w:r>
      <w:r>
        <w:rPr>
          <w:rFonts w:ascii="Cambria" w:hAnsi="Cambria"/>
          <w:b/>
          <w:bCs/>
        </w:rPr>
        <w:t xml:space="preserve">10-15 % del PIB mundial</w:t>
      </w:r>
      <w:r>
        <w:rPr>
          <w:rFonts w:ascii="Cambria" w:hAnsi="Cambria"/>
        </w:rPr>
        <w:t xml:space="preserve"> y es el tercer sector del comercio internacional tras el automóvil y la energía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hasta 2024 suponía el </w:t>
      </w:r>
      <w:r>
        <w:rPr>
          <w:rFonts w:ascii="Cambria" w:hAnsi="Cambria"/>
          <w:b/>
          <w:bCs/>
        </w:rPr>
        <w:t xml:space="preserve">12,6 % del PIB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12,3 % del empleo</w:t>
      </w:r>
      <w:r>
        <w:rPr>
          <w:rFonts w:ascii="Cambria" w:hAnsi="Cambria"/>
        </w:rPr>
        <w:t xml:space="preserve">, con España como segunda potencia mundial en turistas e ingresos, solo por detrás de EEUU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turismo es toda actividad de gasto fuera del lugar de residencia habitual. Se distingue el </w:t>
      </w:r>
      <w:r>
        <w:rPr>
          <w:rFonts w:ascii="Cambria" w:hAnsi="Cambria"/>
          <w:b/>
          <w:bCs/>
        </w:rPr>
        <w:t xml:space="preserve">turismo interior</w:t>
      </w:r>
      <w:r>
        <w:rPr>
          <w:rFonts w:ascii="Cambria" w:hAnsi="Cambria"/>
        </w:rPr>
        <w:t xml:space="preserve"> (residentes) del </w:t>
      </w:r>
      <w:r>
        <w:rPr>
          <w:rFonts w:ascii="Cambria" w:hAnsi="Cambria"/>
          <w:b/>
          <w:bCs/>
        </w:rPr>
        <w:t xml:space="preserve">turismo internacional o receptor</w:t>
      </w:r>
      <w:r>
        <w:rPr>
          <w:rFonts w:ascii="Cambria" w:hAnsi="Cambria"/>
        </w:rPr>
        <w:t xml:space="preserve"> (no residentes por menos de un año), que comprende </w:t>
      </w:r>
      <w:r>
        <w:rPr>
          <w:rFonts w:ascii="Cambria" w:hAnsi="Cambria"/>
          <w:b/>
          <w:bCs/>
        </w:rPr>
        <w:t xml:space="preserve">excursionistas</w:t>
      </w:r>
      <w:r>
        <w:rPr>
          <w:rFonts w:ascii="Cambria" w:hAnsi="Cambria"/>
        </w:rPr>
        <w:t xml:space="preserve"> (sin pernoctar) y </w:t>
      </w:r>
      <w:r>
        <w:rPr>
          <w:rFonts w:ascii="Cambria" w:hAnsi="Cambria"/>
          <w:b/>
          <w:bCs/>
        </w:rPr>
        <w:t xml:space="preserve">turistas</w:t>
      </w:r>
      <w:r>
        <w:rPr>
          <w:rFonts w:ascii="Cambria" w:hAnsi="Cambria"/>
        </w:rPr>
        <w:t xml:space="preserve"> (al menos una noche)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Oferta turística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Recursos naturales</w:t>
      </w:r>
      <w:r>
        <w:rPr>
          <w:rFonts w:ascii="Cambria" w:hAnsi="Cambria"/>
        </w:rPr>
        <w:t xml:space="preserve">: casi 8.000 km de costa, más de la mitad de los espacios naturales europeos y segundo país más montañoso de Europa tras Suiza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Recursos histórico-culturales</w:t>
      </w:r>
      <w:r>
        <w:rPr>
          <w:rFonts w:ascii="Cambria" w:hAnsi="Cambria"/>
        </w:rPr>
        <w:t xml:space="preserve">: quinto país del mundo en bienes Patrimonio Mundial (50 sitios) y 15 Ciudades Patrimonio de la Humanidad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Alojamientos</w:t>
      </w:r>
      <w:r>
        <w:rPr>
          <w:rFonts w:ascii="Cambria" w:hAnsi="Cambria"/>
        </w:rPr>
        <w:t xml:space="preserve">: hoteles y pensiones (unas 1.500.000 plazas), apartamentos turísticos (unas 800.000, con impacto en la vivienda de larga duración) y campings (más de 500.000)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Operadores turísticos</w:t>
      </w:r>
      <w:r>
        <w:rPr>
          <w:rFonts w:ascii="Cambria" w:hAnsi="Cambria"/>
        </w:rPr>
        <w:t xml:space="preserve">: grandes agencias (Viajes El Corte Inglés, Barceló Viajes, Halcón Viajes) frente a pequeñas agencias, con tour-operadores extranjeros que captan casi el 50 % del turismo receptor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Productos: </w:t>
      </w:r>
      <w:r>
        <w:rPr>
          <w:rFonts w:ascii="Cambria" w:hAnsi="Cambria"/>
          <w:b/>
          <w:bCs/>
        </w:rPr>
        <w:t xml:space="preserve">sol y playa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cultural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rural</w:t>
      </w:r>
      <w:r>
        <w:rPr>
          <w:rFonts w:ascii="Cambria" w:hAnsi="Cambria"/>
        </w:rPr>
        <w:t xml:space="preserve"> (Cornisa Cantábrica), </w:t>
      </w:r>
      <w:r>
        <w:rPr>
          <w:rFonts w:ascii="Cambria" w:hAnsi="Cambria"/>
          <w:b/>
          <w:bCs/>
        </w:rPr>
        <w:t xml:space="preserve">de negocios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social y de la tercera edad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IMSERSO</w:t>
      </w:r>
      <w:r>
        <w:rPr>
          <w:rFonts w:ascii="Cambria" w:hAnsi="Cambria"/>
        </w:rPr>
        <w:t xml:space="preserve">), </w:t>
      </w:r>
      <w:r>
        <w:rPr>
          <w:rFonts w:ascii="Cambria" w:hAnsi="Cambria"/>
          <w:b/>
          <w:bCs/>
        </w:rPr>
        <w:t xml:space="preserve">de salud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de compras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Zonas de Gran Afluencia Turística</w:t>
      </w:r>
      <w:r>
        <w:rPr>
          <w:rFonts w:ascii="Cambria" w:hAnsi="Cambria"/>
        </w:rPr>
        <w:t xml:space="preserve"> del </w:t>
      </w:r>
      <w:r>
        <w:rPr>
          <w:rFonts w:ascii="Cambria" w:hAnsi="Cambria"/>
          <w:b/>
          <w:bCs/>
        </w:rPr>
        <w:t xml:space="preserve">Real Decreto-ley 20/2012</w:t>
      </w:r>
      <w:r>
        <w:rPr>
          <w:rFonts w:ascii="Cambria" w:hAnsi="Cambria"/>
        </w:rPr>
        <w:t xml:space="preserve">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Demanda turística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Externa</w:t>
      </w:r>
      <w:r>
        <w:rPr>
          <w:rFonts w:ascii="Cambria" w:hAnsi="Cambria"/>
        </w:rPr>
        <w:t xml:space="preserve">: en 2025 España recibió </w:t>
      </w:r>
      <w:r>
        <w:rPr>
          <w:rFonts w:ascii="Cambria" w:hAnsi="Cambria"/>
          <w:b/>
          <w:bCs/>
        </w:rPr>
        <w:t xml:space="preserve">96,8 millones</w:t>
      </w:r>
      <w:r>
        <w:rPr>
          <w:rFonts w:ascii="Cambria" w:hAnsi="Cambria"/>
        </w:rPr>
        <w:t xml:space="preserve"> de turistas, récord por tercer año consecutivo. Casi el 80 % procede de la UE y Reino Unido, con la vía aérea concentrando más del 72 % de las llegadas y el 40 % de las entradas entre julio y septiembre, salvo Canarias. Cataluña, Baleares y Canarias concentran el 60 % del gasto. Según </w:t>
      </w:r>
      <w:r>
        <w:rPr>
          <w:rFonts w:ascii="Cambria" w:hAnsi="Cambria"/>
          <w:b/>
          <w:bCs/>
        </w:rPr>
        <w:t xml:space="preserve">EGATUR</w:t>
      </w:r>
      <w:r>
        <w:rPr>
          <w:rFonts w:ascii="Cambria" w:hAnsi="Cambria"/>
        </w:rPr>
        <w:t xml:space="preserve">, el gasto fue de </w:t>
      </w:r>
      <w:r>
        <w:rPr>
          <w:rFonts w:ascii="Cambria" w:hAnsi="Cambria"/>
          <w:b/>
          <w:bCs/>
        </w:rPr>
        <w:t xml:space="preserve">134.712 M€</w:t>
      </w:r>
      <w:r>
        <w:rPr>
          <w:rFonts w:ascii="Cambria" w:hAnsi="Cambria"/>
        </w:rPr>
        <w:t xml:space="preserve"> (+6,8 %), con gasto medio de </w:t>
      </w:r>
      <w:r>
        <w:rPr>
          <w:rFonts w:ascii="Cambria" w:hAnsi="Cambria"/>
          <w:b/>
          <w:bCs/>
        </w:rPr>
        <w:t xml:space="preserve">1.392 €</w:t>
      </w:r>
      <w:r>
        <w:rPr>
          <w:rFonts w:ascii="Cambria" w:hAnsi="Cambria"/>
        </w:rPr>
        <w:t xml:space="preserve"> y estancia media de </w:t>
      </w:r>
      <w:r>
        <w:rPr>
          <w:rFonts w:ascii="Cambria" w:hAnsi="Cambria"/>
          <w:b/>
          <w:bCs/>
        </w:rPr>
        <w:t xml:space="preserve">7,1 noches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Interna</w:t>
      </w:r>
      <w:r>
        <w:rPr>
          <w:rFonts w:ascii="Cambria" w:hAnsi="Cambria"/>
        </w:rPr>
        <w:t xml:space="preserve">: menor concentración geográfica, con Madrid y Cataluña como emisores netos y Andalucía, Cataluña, la Comunitat Valenciana y la Cornisa Cantábrica como receptores destacados, con menor gasto medio pero tendencia creciente a salir al extranjero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Política turística española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compartido entre Estado y CCAA. La </w:t>
      </w:r>
      <w:r>
        <w:rPr>
          <w:rFonts w:ascii="Cambria" w:hAnsi="Cambria"/>
          <w:b/>
          <w:bCs/>
        </w:rPr>
        <w:t xml:space="preserve">Secretaría de Estado de Turismo</w:t>
      </w:r>
      <w:r>
        <w:rPr>
          <w:rFonts w:ascii="Cambria" w:hAnsi="Cambria"/>
        </w:rPr>
        <w:t xml:space="preserve">, del Ministerio de Industria y Turismo, coordina las estrategias de </w:t>
      </w:r>
      <w:r>
        <w:rPr>
          <w:rFonts w:ascii="Cambria" w:hAnsi="Cambria"/>
          <w:b/>
          <w:bCs/>
        </w:rPr>
        <w:t xml:space="preserve">TURESPAÑA</w:t>
      </w:r>
      <w:r>
        <w:rPr>
          <w:rFonts w:ascii="Cambria" w:hAnsi="Cambria"/>
        </w:rPr>
        <w:t xml:space="preserve"> (promoción exterior) y </w:t>
      </w:r>
      <w:r>
        <w:rPr>
          <w:rFonts w:ascii="Cambria" w:hAnsi="Cambria"/>
          <w:b/>
          <w:bCs/>
        </w:rPr>
        <w:t xml:space="preserve">Paradores de Turismo de España S.A.</w:t>
      </w:r>
      <w:r>
        <w:rPr>
          <w:rFonts w:ascii="Cambria" w:hAnsi="Cambria"/>
        </w:rPr>
        <w:t xml:space="preserve"> (cerca de 100 establecimientos, más de 10.000 plazas)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CCAA tienen competencias exclusivas en ordenación, planificación y promoción turística (</w:t>
      </w:r>
      <w:r>
        <w:rPr>
          <w:rFonts w:ascii="Cambria" w:hAnsi="Cambria"/>
          <w:b/>
          <w:bCs/>
        </w:rPr>
        <w:t xml:space="preserve">artículo 148.1.18 de la Constitución</w:t>
      </w:r>
      <w:r>
        <w:rPr>
          <w:rFonts w:ascii="Cambria" w:hAnsi="Cambria"/>
        </w:rPr>
        <w:t xml:space="preserve">), incluyendo turismo rural, clasificación hotelera e inspección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Planes Marco Plurianuales, tras el </w:t>
      </w:r>
      <w:r>
        <w:rPr>
          <w:rFonts w:ascii="Cambria" w:hAnsi="Cambria"/>
          <w:b/>
          <w:bCs/>
        </w:rPr>
        <w:t xml:space="preserve">Libro Blanco del Turismo en España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FUTURES I y II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PICTE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SCTE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Plan Horizonte 2020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PNIT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PEM 18-20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Estrategia de Sostenibilidad Turística en Destino</w:t>
      </w:r>
      <w:r>
        <w:rPr>
          <w:rFonts w:ascii="Cambria" w:hAnsi="Cambria"/>
        </w:rPr>
        <w:t xml:space="preserve"> (2021-2024, con </w:t>
      </w:r>
      <w:r>
        <w:rPr>
          <w:rFonts w:ascii="Cambria" w:hAnsi="Cambria"/>
          <w:b/>
          <w:bCs/>
        </w:rPr>
        <w:t xml:space="preserve">NextGenerationEU</w:t>
      </w:r>
      <w:r>
        <w:rPr>
          <w:rFonts w:ascii="Cambria" w:hAnsi="Cambria"/>
        </w:rPr>
        <w:t xml:space="preserve">, más de 1.900 M€), hasta la </w:t>
      </w:r>
      <w:r>
        <w:rPr>
          <w:rFonts w:ascii="Cambria" w:hAnsi="Cambria"/>
          <w:b/>
          <w:bCs/>
        </w:rPr>
        <w:t xml:space="preserve">Estrategia de Turismo Sostenible de España 2030</w:t>
      </w:r>
      <w:r>
        <w:rPr>
          <w:rFonts w:ascii="Cambria" w:hAnsi="Cambria"/>
        </w:rPr>
        <w:t xml:space="preserve">, vigente, con tres pilares y cinco ejes estratégicos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ESTADÍSTICAS TURÍSTICAS UTILIZADAS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estadístico lo produce en su práctica totalidad el </w:t>
      </w:r>
      <w:r>
        <w:rPr>
          <w:rFonts w:ascii="Cambria" w:hAnsi="Cambria"/>
          <w:b/>
          <w:bCs/>
        </w:rPr>
        <w:t xml:space="preserve">INE</w:t>
      </w:r>
      <w:r>
        <w:rPr>
          <w:rFonts w:ascii="Cambria" w:hAnsi="Cambria"/>
        </w:rPr>
        <w:t xml:space="preserve">. Hasta 2015 parte lo elaboraba el </w:t>
      </w:r>
      <w:r>
        <w:rPr>
          <w:rFonts w:ascii="Cambria" w:hAnsi="Cambria"/>
          <w:b/>
          <w:bCs/>
        </w:rPr>
        <w:t xml:space="preserve">Instituto de Estudios Turísticos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Movimientos Turísticos en Fronteras (FRONTUR)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Estadística mensual del INE, implantada en 1996, que cuantifica los flujos de entrada mediante conteos fronterizos y encuestas por muestreo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 se alcanzaron </w:t>
      </w:r>
      <w:r>
        <w:rPr>
          <w:rFonts w:ascii="Cambria" w:hAnsi="Cambria"/>
          <w:b/>
          <w:bCs/>
        </w:rPr>
        <w:t xml:space="preserve">96,8 millones</w:t>
      </w:r>
      <w:r>
        <w:rPr>
          <w:rFonts w:ascii="Cambria" w:hAnsi="Cambria"/>
        </w:rPr>
        <w:t xml:space="preserve"> de turistas (</w:t>
      </w:r>
      <w:r>
        <w:rPr>
          <w:rFonts w:ascii="Cambria" w:hAnsi="Cambria"/>
          <w:b/>
          <w:bCs/>
        </w:rPr>
        <w:t xml:space="preserve">+3,2 %</w:t>
      </w:r>
      <w:r>
        <w:rPr>
          <w:rFonts w:ascii="Cambria" w:hAnsi="Cambria"/>
        </w:rPr>
        <w:t xml:space="preserve">), nuevo máximo histórico. Cataluña lideró los destinos (20,1 M), seguida de Baleares y Canarias (15,7 M cada una), Andalucía (14,5 M), la Comunitat Valenciana (12,4 M) y Madrid (9,1 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Reino Unido fue el primer mercado emisor, seguido de Francia y Alemania. El transporte aéreo lidera las entradas y el viaje independiente organizado online es la forma mayoritaria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Encuesta sobre el Gasto Turístico (EGATUR)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Encuesta mensual continua sobre el gasto de los visitantes, apoyada en FRONTUR, incorporada a la Balanza de Pagos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 el gasto total fue de </w:t>
      </w:r>
      <w:r>
        <w:rPr>
          <w:rFonts w:ascii="Cambria" w:hAnsi="Cambria"/>
          <w:b/>
          <w:bCs/>
        </w:rPr>
        <w:t xml:space="preserve">134.712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+6,8 %</w:t>
      </w:r>
      <w:r>
        <w:rPr>
          <w:rFonts w:ascii="Cambria" w:hAnsi="Cambria"/>
        </w:rPr>
        <w:t xml:space="preserve">), gasto medio de </w:t>
      </w:r>
      <w:r>
        <w:rPr>
          <w:rFonts w:ascii="Cambria" w:hAnsi="Cambria"/>
          <w:b/>
          <w:bCs/>
        </w:rPr>
        <w:t xml:space="preserve">1.392 €</w:t>
      </w:r>
      <w:r>
        <w:rPr>
          <w:rFonts w:ascii="Cambria" w:hAnsi="Cambria"/>
        </w:rPr>
        <w:t xml:space="preserve">, gasto diario de </w:t>
      </w:r>
      <w:r>
        <w:rPr>
          <w:rFonts w:ascii="Cambria" w:hAnsi="Cambria"/>
          <w:b/>
          <w:bCs/>
        </w:rPr>
        <w:t xml:space="preserve">195 €</w:t>
      </w:r>
      <w:r>
        <w:rPr>
          <w:rFonts w:ascii="Cambria" w:hAnsi="Cambria"/>
        </w:rPr>
        <w:t xml:space="preserve"> y estancia media de </w:t>
      </w:r>
      <w:r>
        <w:rPr>
          <w:rFonts w:ascii="Cambria" w:hAnsi="Cambria"/>
          <w:b/>
          <w:bCs/>
        </w:rPr>
        <w:t xml:space="preserve">7,1 noches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Encuesta de Ocupación Hotelera (EOH) y otras encuestas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INE difunde mensualmente oferta y demanda hotelera, con los indicadores </w:t>
      </w:r>
      <w:r>
        <w:rPr>
          <w:rFonts w:ascii="Cambria" w:hAnsi="Cambria"/>
          <w:b/>
          <w:bCs/>
        </w:rPr>
        <w:t xml:space="preserve">ADR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RevPAR</w:t>
      </w:r>
      <w:r>
        <w:rPr>
          <w:rFonts w:ascii="Cambria" w:hAnsi="Cambria"/>
        </w:rPr>
        <w:t xml:space="preserve">. En 2025 las pernoctaciones hoteleras alcanzaron </w:t>
      </w:r>
      <w:r>
        <w:rPr>
          <w:rFonts w:ascii="Cambria" w:hAnsi="Cambria"/>
          <w:b/>
          <w:bCs/>
        </w:rPr>
        <w:t xml:space="preserve">366,7 millones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+1,0 %</w:t>
      </w:r>
      <w:r>
        <w:rPr>
          <w:rFonts w:ascii="Cambria" w:hAnsi="Cambria"/>
        </w:rPr>
        <w:t xml:space="preserve">), con un ADR de </w:t>
      </w:r>
      <w:r>
        <w:rPr>
          <w:rFonts w:ascii="Cambria" w:hAnsi="Cambria"/>
          <w:b/>
          <w:bCs/>
        </w:rPr>
        <w:t xml:space="preserve">127,7 €</w:t>
      </w:r>
      <w:r>
        <w:rPr>
          <w:rFonts w:ascii="Cambria" w:hAnsi="Cambria"/>
        </w:rPr>
        <w:t xml:space="preserve"> y un RevPAR de </w:t>
      </w:r>
      <w:r>
        <w:rPr>
          <w:rFonts w:ascii="Cambria" w:hAnsi="Cambria"/>
          <w:b/>
          <w:bCs/>
        </w:rPr>
        <w:t xml:space="preserve">89,7 €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Campings</w:t>
      </w:r>
      <w:r>
        <w:rPr>
          <w:rFonts w:ascii="Cambria" w:hAnsi="Cambria"/>
        </w:rPr>
        <w:t xml:space="preserve">: pernoctaciones </w:t>
      </w:r>
      <w:r>
        <w:rPr>
          <w:rFonts w:ascii="Cambria" w:hAnsi="Cambria"/>
          <w:b/>
          <w:bCs/>
        </w:rPr>
        <w:t xml:space="preserve">+1,4 %</w:t>
      </w:r>
      <w:r>
        <w:rPr>
          <w:rFonts w:ascii="Cambria" w:hAnsi="Cambria"/>
        </w:rPr>
        <w:t xml:space="preserve">, con Cataluña como destino preferido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Apartamentos turísticos</w:t>
      </w:r>
      <w:r>
        <w:rPr>
          <w:rFonts w:ascii="Cambria" w:hAnsi="Cambria"/>
        </w:rPr>
        <w:t xml:space="preserve">: pernoctaciones </w:t>
      </w:r>
      <w:r>
        <w:rPr>
          <w:rFonts w:ascii="Cambria" w:hAnsi="Cambria"/>
          <w:b/>
          <w:bCs/>
        </w:rPr>
        <w:t xml:space="preserve">+5,9 %</w:t>
      </w:r>
      <w:r>
        <w:rPr>
          <w:rFonts w:ascii="Cambria" w:hAnsi="Cambria"/>
        </w:rPr>
        <w:t xml:space="preserve">, con Canarias como destino preferido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Turismo rural</w:t>
      </w:r>
      <w:r>
        <w:rPr>
          <w:rFonts w:ascii="Cambria" w:hAnsi="Cambria"/>
        </w:rPr>
        <w:t xml:space="preserve">: pernoctaciones nacionales </w:t>
      </w:r>
      <w:r>
        <w:rPr>
          <w:rFonts w:ascii="Cambria" w:hAnsi="Cambria"/>
          <w:b/>
          <w:bCs/>
        </w:rPr>
        <w:t xml:space="preserve">+1,2 %</w:t>
      </w:r>
      <w:r>
        <w:rPr>
          <w:rFonts w:ascii="Cambria" w:hAnsi="Cambria"/>
        </w:rPr>
        <w:t xml:space="preserve">, con Castilla y León como destino preferido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Índices de precios y rentabilidad del sector hotelero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Índice de Precios Hoteleros (IPH)</w:t>
      </w:r>
      <w:r>
        <w:rPr>
          <w:rFonts w:ascii="Cambria" w:hAnsi="Cambria"/>
        </w:rPr>
        <w:t xml:space="preserve"> mide los precios percibidos por los hoteleros, complementando el IPC desde la oferta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Índice de Rentabilidad del Sector Hotelero</w:t>
      </w:r>
      <w:r>
        <w:rPr>
          <w:rFonts w:ascii="Cambria" w:hAnsi="Cambria"/>
        </w:rPr>
        <w:t xml:space="preserve"> aporta los indicadores ADR y RevPAR para el revenue management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 el IPH subió de media un </w:t>
      </w:r>
      <w:r>
        <w:rPr>
          <w:rFonts w:ascii="Cambria" w:hAnsi="Cambria"/>
          <w:b/>
          <w:bCs/>
        </w:rPr>
        <w:t xml:space="preserve">5,1 %</w:t>
      </w:r>
      <w:r>
        <w:rPr>
          <w:rFonts w:ascii="Cambria" w:hAnsi="Cambria"/>
        </w:rPr>
        <w:t xml:space="preserve">, con tasas positivas en todas las CCAA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exterior de servicios español presenta un perfil superavitario, sostenido por el turismo internacional y la solidez de los servicios empresariales, contrapeso del déficit de bienes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turismo es el núcleo de este superávit y, a la vez, el sector más vulnerable a choques exógenos, como quedó patente con la pandemia de 2020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respuesta estratégica es la </w:t>
      </w:r>
      <w:r>
        <w:rPr>
          <w:rFonts w:ascii="Cambria" w:hAnsi="Cambria"/>
          <w:b/>
          <w:bCs/>
        </w:rPr>
        <w:t xml:space="preserve">Estrategia de Turismo Sostenible 2030</w:t>
      </w:r>
      <w:r>
        <w:rPr>
          <w:rFonts w:ascii="Cambria" w:hAnsi="Cambria"/>
        </w:rPr>
        <w:t xml:space="preserve">, con un crecimiento de mayor calidad y equilibrio territorial, compatible con los </w:t>
      </w:r>
      <w:r>
        <w:rPr>
          <w:rFonts w:ascii="Cambria" w:hAnsi="Cambria"/>
          <w:b/>
          <w:bCs/>
        </w:rPr>
        <w:t xml:space="preserve">Objetivos de Desarrollo Sostenible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sistema estadístico del INE da base al diseño de políticas públicas y al posicionamiento de España en los mercados internacionales de servicios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23 – Análisis de la evolución del comercio exterior de servicios en España (I). El Turismo en España. Estadísticas utilizadas.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