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servicios no turísticos representan más del </w:t>
      </w:r>
      <w:r>
        <w:rPr>
          <w:rFonts w:ascii="Cambria" w:hAnsi="Cambria"/>
          <w:b/>
          <w:bCs/>
        </w:rPr>
        <w:t xml:space="preserve">53%</w:t>
      </w:r>
      <w:r>
        <w:rPr>
          <w:rFonts w:ascii="Cambria" w:hAnsi="Cambria"/>
        </w:rPr>
        <w:t xml:space="preserve"> del total de exportaciones de servicios españolas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Rúbricas líderes: </w:t>
      </w:r>
      <w:r>
        <w:rPr>
          <w:rFonts w:ascii="Cambria" w:hAnsi="Cambria"/>
          <w:b/>
          <w:bCs/>
        </w:rPr>
        <w:t xml:space="preserve">servicios empresariales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telecomunicaciones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Refleja la transformación hacia actividades de mayor valor añadido, intensivas en conocimiento y digitalizadas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analizan cinco subsectores: servicios empresariales, financieros, telecomunicaciones, transporte y construcción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VISIÓN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, los servicios representan el </w:t>
      </w:r>
      <w:r>
        <w:rPr>
          <w:rFonts w:ascii="Cambria" w:hAnsi="Cambria"/>
          <w:b/>
          <w:bCs/>
        </w:rPr>
        <w:t xml:space="preserve">26,7%</w:t>
      </w:r>
      <w:r>
        <w:rPr>
          <w:rFonts w:ascii="Cambria" w:hAnsi="Cambria"/>
        </w:rPr>
        <w:t xml:space="preserve"> del comercio internacional y el </w:t>
      </w:r>
      <w:r>
        <w:rPr>
          <w:rFonts w:ascii="Cambria" w:hAnsi="Cambria"/>
          <w:b/>
          <w:bCs/>
        </w:rPr>
        <w:t xml:space="preserve">70%</w:t>
      </w:r>
      <w:r>
        <w:rPr>
          <w:rFonts w:ascii="Cambria" w:hAnsi="Cambria"/>
        </w:rPr>
        <w:t xml:space="preserve"> de la IED mundial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del auge: cambio estructural hacia el terciario, apertura de mercados e IED, y externalización global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exportadores mundiales (2025): </w:t>
      </w:r>
      <w:r>
        <w:rPr>
          <w:rFonts w:ascii="Cambria" w:hAnsi="Cambria"/>
          <w:b/>
          <w:bCs/>
        </w:rPr>
        <w:t xml:space="preserve">EEUU, Reino Unido, Alemania y Francia</w:t>
      </w:r>
      <w:r>
        <w:rPr>
          <w:rFonts w:ascii="Cambria" w:hAnsi="Cambria"/>
        </w:rPr>
        <w:t xml:space="preserve">. España está en el </w:t>
      </w:r>
      <w:r>
        <w:rPr>
          <w:rFonts w:ascii="Cambria" w:hAnsi="Cambria"/>
          <w:b/>
          <w:bCs/>
        </w:rPr>
        <w:t xml:space="preserve">top 10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Exportaciones e importaciones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(Balanza de Pagos, </w:t>
      </w:r>
      <w:r>
        <w:rPr>
          <w:rFonts w:ascii="Cambria" w:hAnsi="Cambria"/>
          <w:b/>
          <w:bCs/>
        </w:rPr>
        <w:t xml:space="preserve">Banco de España</w:t>
      </w:r>
      <w:r>
        <w:rPr>
          <w:rFonts w:ascii="Cambria" w:hAnsi="Cambria"/>
        </w:rPr>
        <w:t xml:space="preserve">, 2025): </w:t>
      </w:r>
      <w:r>
        <w:rPr>
          <w:rFonts w:ascii="Cambria" w:hAnsi="Cambria"/>
          <w:b/>
          <w:bCs/>
        </w:rPr>
        <w:t xml:space="preserve">120.573 M€</w:t>
      </w:r>
      <w:r>
        <w:rPr>
          <w:rFonts w:ascii="Cambria" w:hAnsi="Cambria"/>
        </w:rPr>
        <w:t xml:space="preserve"> (+15,1%)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servicios empresariales: 46.791 M€ (38,8%). Telecomunicaciones e informática: 23.566 M€ (19,5%)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Transporte: 23.179 M€ (19,2%, +27,8%). Construcción: menor peso (1,0%)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destinos: Francia, Reino Unido y Alemania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Importaciones: </w:t>
      </w:r>
      <w:r>
        <w:rPr>
          <w:rFonts w:ascii="Cambria" w:hAnsi="Cambria"/>
          <w:b/>
          <w:bCs/>
        </w:rPr>
        <w:t xml:space="preserve">77.336 M€</w:t>
      </w:r>
      <w:r>
        <w:rPr>
          <w:rFonts w:ascii="Cambria" w:hAnsi="Cambria"/>
        </w:rPr>
        <w:t xml:space="preserve"> (+6,4%)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servicios empresariales: 33.934 M€ (43,9%). Telecomunicaciones e informática: 11.972 M€ (15,4%)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Transporte: 9.852 M€ (12,7%, -18,6%)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orígenes: Francia, Alemania y Reino Unido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SERVICIOS EMPRESARIALES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Incluyen I+D, consultoría profesional y de gestión, servicios técnicos de comercio, ingeniería, arquitectura y publicidad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actores mundiales: </w:t>
      </w:r>
      <w:r>
        <w:rPr>
          <w:rFonts w:ascii="Cambria" w:hAnsi="Cambria"/>
          <w:b/>
          <w:bCs/>
        </w:rPr>
        <w:t xml:space="preserve">EEUU, UE, Reino Unido, India y China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España: ingresos de 31.486 M€ (2022) a </w:t>
      </w:r>
      <w:r>
        <w:rPr>
          <w:rFonts w:ascii="Cambria" w:hAnsi="Cambria"/>
          <w:b/>
          <w:bCs/>
        </w:rPr>
        <w:t xml:space="preserve">46.791 M€</w:t>
      </w:r>
      <w:r>
        <w:rPr>
          <w:rFonts w:ascii="Cambria" w:hAnsi="Cambria"/>
        </w:rPr>
        <w:t xml:space="preserve"> (2025), +48,6%. Pagos +45,1%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Servicios técnicos</w:t>
      </w:r>
      <w:r>
        <w:rPr>
          <w:rFonts w:ascii="Cambria" w:hAnsi="Cambria"/>
        </w:rPr>
        <w:t xml:space="preserve">: dos tercios del total (+48,6% de ingresos)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Consultoría profesional y de gestión</w:t>
      </w:r>
      <w:r>
        <w:rPr>
          <w:rFonts w:ascii="Cambria" w:hAnsi="Cambria"/>
        </w:rPr>
        <w:t xml:space="preserve">: subsector más dinámico (+52,3% de ingresos)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I+D</w:t>
      </w:r>
      <w:r>
        <w:rPr>
          <w:rFonts w:ascii="Cambria" w:hAnsi="Cambria"/>
        </w:rPr>
        <w:t xml:space="preserve">: menor peso, pero crecimiento sostenido (+31,7% de ingresos)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SERVICIOS FINANCIEROS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Posición competitiva e innovación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modernizado, con presencia en Europa y Latinoamérica y liderazgo digital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Spain Fintech Hub</w:t>
      </w:r>
      <w:r>
        <w:rPr>
          <w:rFonts w:ascii="Cambria" w:hAnsi="Cambria"/>
        </w:rPr>
        <w:t xml:space="preserve"> impulsa el ecosistema. España cuenta con </w:t>
      </w:r>
      <w:r>
        <w:rPr>
          <w:rFonts w:ascii="Cambria" w:hAnsi="Cambria"/>
          <w:b/>
          <w:bCs/>
        </w:rPr>
        <w:t xml:space="preserve">900-1.000 fintechs</w:t>
      </w:r>
      <w:r>
        <w:rPr>
          <w:rFonts w:ascii="Cambria" w:hAnsi="Cambria"/>
        </w:rPr>
        <w:t xml:space="preserve"> activas: sexto país del mundo, tercero de Europa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regulatorio: Directiva </w:t>
      </w:r>
      <w:r>
        <w:rPr>
          <w:rFonts w:ascii="Cambria" w:hAnsi="Cambria"/>
          <w:b/>
          <w:bCs/>
        </w:rPr>
        <w:t xml:space="preserve">PSD2</w:t>
      </w:r>
      <w:r>
        <w:rPr>
          <w:rFonts w:ascii="Cambria" w:hAnsi="Cambria"/>
        </w:rPr>
        <w:t xml:space="preserve"> (banca abierta) y euro digital en desarrollo por el </w:t>
      </w:r>
      <w:r>
        <w:rPr>
          <w:rFonts w:ascii="Cambria" w:hAnsi="Cambria"/>
          <w:b/>
          <w:bCs/>
        </w:rPr>
        <w:t xml:space="preserve">BCE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Ingresos por exportación: de 4.083 M€ (2022) a 6.717 M€ (2024, superávit máximo de 4.792 M€). En 2025: saldo de </w:t>
      </w:r>
      <w:r>
        <w:rPr>
          <w:rFonts w:ascii="Cambria" w:hAnsi="Cambria"/>
          <w:b/>
          <w:bCs/>
        </w:rPr>
        <w:t xml:space="preserve">3.354 M€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Reestructuración y supervisión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Crisis de 2008: exposición inmobiliaria y deterioro de la financiación provocaron saneamiento y recapitalización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Prima de riesgo superó los </w:t>
      </w:r>
      <w:r>
        <w:rPr>
          <w:rFonts w:ascii="Cambria" w:hAnsi="Cambria"/>
          <w:b/>
          <w:bCs/>
        </w:rPr>
        <w:t xml:space="preserve">600 puntos básicos</w:t>
      </w:r>
      <w:r>
        <w:rPr>
          <w:rFonts w:ascii="Cambria" w:hAnsi="Cambria"/>
        </w:rPr>
        <w:t xml:space="preserve"> en 2012, con asistencia del Eurogrupo (hasta </w:t>
      </w:r>
      <w:r>
        <w:rPr>
          <w:rFonts w:ascii="Cambria" w:hAnsi="Cambria"/>
          <w:b/>
          <w:bCs/>
        </w:rPr>
        <w:t xml:space="preserve">100.000 M€</w:t>
      </w:r>
      <w:r>
        <w:rPr>
          <w:rFonts w:ascii="Cambria" w:hAnsi="Cambria"/>
        </w:rPr>
        <w:t xml:space="preserve">) canalizada por el </w:t>
      </w:r>
      <w:r>
        <w:rPr>
          <w:rFonts w:ascii="Cambria" w:hAnsi="Cambria"/>
          <w:b/>
          <w:bCs/>
        </w:rPr>
        <w:t xml:space="preserve">FROB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Operaciones clave: resolución del </w:t>
      </w:r>
      <w:r>
        <w:rPr>
          <w:rFonts w:ascii="Cambria" w:hAnsi="Cambria"/>
          <w:b/>
          <w:bCs/>
        </w:rPr>
        <w:t xml:space="preserve">Banco Popular</w:t>
      </w:r>
      <w:r>
        <w:rPr>
          <w:rFonts w:ascii="Cambria" w:hAnsi="Cambria"/>
        </w:rPr>
        <w:t xml:space="preserve"> (2017, Santander) y fusión </w:t>
      </w:r>
      <w:r>
        <w:rPr>
          <w:rFonts w:ascii="Cambria" w:hAnsi="Cambria"/>
          <w:b/>
          <w:bCs/>
        </w:rPr>
        <w:t xml:space="preserve">Bankia-CaixaBank</w:t>
      </w:r>
      <w:r>
        <w:rPr>
          <w:rFonts w:ascii="Cambria" w:hAnsi="Cambria"/>
        </w:rPr>
        <w:t xml:space="preserve"> (2021)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actual: </w:t>
      </w:r>
      <w:r>
        <w:rPr>
          <w:rFonts w:ascii="Cambria" w:hAnsi="Cambria"/>
          <w:b/>
          <w:bCs/>
        </w:rPr>
        <w:t xml:space="preserve">Santander, BBVA y CaixaBank</w:t>
      </w:r>
      <w:r>
        <w:rPr>
          <w:rFonts w:ascii="Cambria" w:hAnsi="Cambria"/>
        </w:rPr>
        <w:t xml:space="preserve">, seguidas de Sabadell, Unicaja, Kutxabank, Abanca e Ibercaja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Retos: bajada de tipos desde 2025, competencia fintech y </w:t>
      </w:r>
      <w:r>
        <w:rPr>
          <w:rFonts w:ascii="Cambria" w:hAnsi="Cambria"/>
          <w:b/>
          <w:bCs/>
        </w:rPr>
        <w:t xml:space="preserve">Reglamento DORA</w:t>
      </w:r>
      <w:r>
        <w:rPr>
          <w:rFonts w:ascii="Cambria" w:hAnsi="Cambria"/>
        </w:rPr>
        <w:t xml:space="preserve"> de resiliencia digital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Supervisión: </w:t>
      </w:r>
      <w:r>
        <w:rPr>
          <w:rFonts w:ascii="Cambria" w:hAnsi="Cambria"/>
          <w:b/>
          <w:bCs/>
        </w:rPr>
        <w:t xml:space="preserve">Mecanismo Único de Supervisión (MUS)</w:t>
      </w:r>
      <w:r>
        <w:rPr>
          <w:rFonts w:ascii="Cambria" w:hAnsi="Cambria"/>
        </w:rPr>
        <w:t xml:space="preserve"> en el BCE. Pruebas de resistencia coordinadas por la </w:t>
      </w:r>
      <w:r>
        <w:rPr>
          <w:rFonts w:ascii="Cambria" w:hAnsi="Cambria"/>
          <w:b/>
          <w:bCs/>
        </w:rPr>
        <w:t xml:space="preserve">EBA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Pendiente el tercer pilar de la Unión Bancaria: </w:t>
      </w:r>
      <w:r>
        <w:rPr>
          <w:rFonts w:ascii="Cambria" w:hAnsi="Cambria"/>
          <w:b/>
          <w:bCs/>
        </w:rPr>
        <w:t xml:space="preserve">Sistema Europeo de Garantía de Depósitos (EDIS)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TELECOMUNICACIONES E INFORMÁTICA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Supervisor en España: </w:t>
      </w:r>
      <w:r>
        <w:rPr>
          <w:rFonts w:ascii="Cambria" w:hAnsi="Cambria"/>
          <w:b/>
          <w:bCs/>
        </w:rPr>
        <w:t xml:space="preserve">CNMC</w:t>
      </w:r>
      <w:r>
        <w:rPr>
          <w:rFonts w:ascii="Cambria" w:hAnsi="Cambria"/>
        </w:rPr>
        <w:t xml:space="preserve">, coordinada a nivel europeo por </w:t>
      </w:r>
      <w:r>
        <w:rPr>
          <w:rFonts w:ascii="Cambria" w:hAnsi="Cambria"/>
          <w:b/>
          <w:bCs/>
        </w:rPr>
        <w:t xml:space="preserve">ORECE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Ingresos minoristas 2025: 24.698,53 M€ (+2,2%). Inversión total: 6.073,8 M€. Empleo: 63.207 personas (+3,3%)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Fusión </w:t>
      </w:r>
      <w:r>
        <w:rPr>
          <w:rFonts w:ascii="Cambria" w:hAnsi="Cambria"/>
          <w:b/>
          <w:bCs/>
        </w:rPr>
        <w:t xml:space="preserve">Orange-MASMÓVIL</w:t>
      </w:r>
      <w:r>
        <w:rPr>
          <w:rFonts w:ascii="Cambria" w:hAnsi="Cambria"/>
        </w:rPr>
        <w:t xml:space="preserve"> (2024) da lugar a </w:t>
      </w:r>
      <w:r>
        <w:rPr>
          <w:rFonts w:ascii="Cambria" w:hAnsi="Cambria"/>
          <w:b/>
          <w:bCs/>
        </w:rPr>
        <w:t xml:space="preserve">MASORANGE</w:t>
      </w:r>
      <w:r>
        <w:rPr>
          <w:rFonts w:ascii="Cambria" w:hAnsi="Cambria"/>
        </w:rPr>
        <w:t xml:space="preserve">, segundo operador (26,4% de cuota)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tres grandes concentran el 74,2% de ingresos, frente a </w:t>
      </w:r>
      <w:r>
        <w:rPr>
          <w:rFonts w:ascii="Cambria" w:hAnsi="Cambria"/>
          <w:b/>
          <w:bCs/>
        </w:rPr>
        <w:t xml:space="preserve">DIGI</w:t>
      </w:r>
      <w:r>
        <w:rPr>
          <w:rFonts w:ascii="Cambria" w:hAnsi="Cambria"/>
        </w:rPr>
        <w:t xml:space="preserve"> (3,5%, +17,5%)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 de 2025: culmina el </w:t>
      </w:r>
      <w:r>
        <w:rPr>
          <w:rFonts w:ascii="Cambria" w:hAnsi="Cambria"/>
          <w:b/>
          <w:bCs/>
        </w:rPr>
        <w:t xml:space="preserve">apagado de la red de cobre</w:t>
      </w:r>
      <w:r>
        <w:rPr>
          <w:rFonts w:ascii="Cambria" w:hAnsi="Cambria"/>
        </w:rPr>
        <w:t xml:space="preserve">, España primer país de la UE en completar la transición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Fijo y móvil: fibra óptica en más del 90% de la banda ancha fija. Parque móvil de 64,2 millones de líneas. </w:t>
      </w:r>
      <w:r>
        <w:rPr>
          <w:rFonts w:ascii="Cambria" w:hAnsi="Cambria"/>
          <w:b/>
          <w:bCs/>
        </w:rPr>
        <w:t xml:space="preserve">5G</w:t>
      </w:r>
      <w:r>
        <w:rPr>
          <w:rFonts w:ascii="Cambria" w:hAnsi="Cambria"/>
        </w:rPr>
        <w:t xml:space="preserve">: 24,8 millones de líneas, aunque el 4G concentra el 78,8% del tráfico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Audiovisual: ingresos de 5.365,54 M€ (+4,4%), impulsados por la TV de pago </w:t>
      </w:r>
      <w:r>
        <w:rPr>
          <w:rFonts w:ascii="Cambria" w:hAnsi="Cambria"/>
          <w:b/>
          <w:bCs/>
        </w:rPr>
        <w:t xml:space="preserve">OTT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Servicios informáticos</w:t>
      </w:r>
      <w:r>
        <w:rPr>
          <w:rFonts w:ascii="Cambria" w:hAnsi="Cambria"/>
        </w:rPr>
        <w:t xml:space="preserve">: exportaciones TIC de 23.541 M€ (2025), crecimiento acumulado superior al </w:t>
      </w:r>
      <w:r>
        <w:rPr>
          <w:rFonts w:ascii="Cambria" w:hAnsi="Cambria"/>
          <w:b/>
          <w:bCs/>
        </w:rPr>
        <w:t xml:space="preserve">9%</w:t>
      </w:r>
      <w:r>
        <w:rPr>
          <w:rFonts w:ascii="Cambria" w:hAnsi="Cambria"/>
        </w:rPr>
        <w:t xml:space="preserve"> desde la pandemia, vinculado al </w:t>
      </w:r>
      <w:r>
        <w:rPr>
          <w:rFonts w:ascii="Cambria" w:hAnsi="Cambria"/>
          <w:b/>
          <w:bCs/>
        </w:rPr>
        <w:t xml:space="preserve">Modo 1 del GATS</w:t>
      </w:r>
      <w:r>
        <w:rPr>
          <w:rFonts w:ascii="Cambria" w:hAnsi="Cambria"/>
        </w:rPr>
        <w:t xml:space="preserve"> (teletrabajo, *nearshoring*). Caso destacado: </w:t>
      </w:r>
      <w:r>
        <w:rPr>
          <w:rFonts w:ascii="Cambria" w:hAnsi="Cambria"/>
          <w:b/>
          <w:bCs/>
        </w:rPr>
        <w:t xml:space="preserve">Amadeus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estratégico: </w:t>
      </w:r>
      <w:r>
        <w:rPr>
          <w:rFonts w:ascii="Cambria" w:hAnsi="Cambria"/>
          <w:b/>
          <w:bCs/>
        </w:rPr>
        <w:t xml:space="preserve">Programa Europa Digital 2021-2027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Agenda España Digital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Tercera rúbrica exportadora (19,2% del total, +27,8% anual, el mayor crecimiento de las grandes rúbricas)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Tipos de transporte de mercancías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Unimodal</w:t>
      </w:r>
      <w:r>
        <w:rPr>
          <w:rFonts w:ascii="Cambria" w:hAnsi="Cambria"/>
        </w:rPr>
        <w:t xml:space="preserve">: un solo modo, un único documento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Intermodal</w:t>
      </w:r>
      <w:r>
        <w:rPr>
          <w:rFonts w:ascii="Cambria" w:hAnsi="Cambria"/>
        </w:rPr>
        <w:t xml:space="preserve">: varios modos con un transportador que organiza el proceso, con tres variantes: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Segmentado</w:t>
      </w:r>
      <w:r>
        <w:rPr>
          <w:rFonts w:ascii="Cambria" w:hAnsi="Cambria"/>
        </w:rPr>
        <w:t xml:space="preserve">: documentos separados, tendente a desaparecer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Combinado</w:t>
      </w:r>
      <w:r>
        <w:rPr>
          <w:rFonts w:ascii="Cambria" w:hAnsi="Cambria"/>
        </w:rPr>
        <w:t xml:space="preserve">: mismo vehículo, varios modos, gestionado por </w:t>
      </w:r>
      <w:r>
        <w:rPr>
          <w:rFonts w:ascii="Cambria" w:hAnsi="Cambria"/>
          <w:b/>
          <w:bCs/>
        </w:rPr>
        <w:t xml:space="preserve">OTC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Multimodal</w:t>
      </w:r>
      <w:r>
        <w:rPr>
          <w:rFonts w:ascii="Cambria" w:hAnsi="Cambria"/>
        </w:rPr>
        <w:t xml:space="preserve">: dos o más modos bajo un único contrato con un </w:t>
      </w:r>
      <w:r>
        <w:rPr>
          <w:rFonts w:ascii="Cambria" w:hAnsi="Cambria"/>
          <w:b/>
          <w:bCs/>
        </w:rPr>
        <w:t xml:space="preserve">OTM/MTO</w:t>
      </w:r>
      <w:r>
        <w:rPr>
          <w:rFonts w:ascii="Cambria" w:hAnsi="Cambria"/>
        </w:rPr>
        <w:t xml:space="preserve">, en </w:t>
      </w:r>
      <w:r>
        <w:rPr>
          <w:rFonts w:ascii="Cambria" w:hAnsi="Cambria"/>
          <w:b/>
          <w:bCs/>
        </w:rPr>
        <w:t xml:space="preserve">Unidades de Transporte Intermodal (UTI)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6.2. Carretera, aéreo, marítimo y ferroviario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Carretera</w:t>
      </w:r>
      <w:r>
        <w:rPr>
          <w:rFonts w:ascii="Cambria" w:hAnsi="Cambria"/>
        </w:rPr>
        <w:t xml:space="preserve">: marco normativo español en la </w:t>
      </w:r>
      <w:r>
        <w:rPr>
          <w:rFonts w:ascii="Cambria" w:hAnsi="Cambria"/>
          <w:b/>
          <w:bCs/>
        </w:rPr>
        <w:t xml:space="preserve">Ley 16/1987 (LOTT)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1211/1990 (ROTT)</w:t>
      </w:r>
      <w:r>
        <w:rPr>
          <w:rFonts w:ascii="Cambria" w:hAnsi="Cambria"/>
        </w:rPr>
        <w:t xml:space="preserve">, con distinción entre vehículo ligero y pesado. Autorizaciones: multilaterales, </w:t>
      </w:r>
      <w:r>
        <w:rPr>
          <w:rFonts w:ascii="Cambria" w:hAnsi="Cambria"/>
          <w:b/>
          <w:bCs/>
        </w:rPr>
        <w:t xml:space="preserve">Licencia Comunitaria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CEMT</w:t>
      </w:r>
      <w:r>
        <w:rPr>
          <w:rFonts w:ascii="Cambria" w:hAnsi="Cambria"/>
        </w:rPr>
        <w:t xml:space="preserve"> y bilaterales. Regulación comunitaria: </w:t>
      </w:r>
      <w:r>
        <w:rPr>
          <w:rFonts w:ascii="Cambria" w:hAnsi="Cambria"/>
          <w:b/>
          <w:bCs/>
        </w:rPr>
        <w:t xml:space="preserve">Reglamento (CE) 1072/2009</w:t>
      </w:r>
      <w:r>
        <w:rPr>
          <w:rFonts w:ascii="Cambria" w:hAnsi="Cambria"/>
        </w:rPr>
        <w:t xml:space="preserve"> (mercancías) y </w:t>
      </w:r>
      <w:r>
        <w:rPr>
          <w:rFonts w:ascii="Cambria" w:hAnsi="Cambria"/>
          <w:b/>
          <w:bCs/>
        </w:rPr>
        <w:t xml:space="preserve">Reglamento (CE) 1073/2009</w:t>
      </w:r>
      <w:r>
        <w:rPr>
          <w:rFonts w:ascii="Cambria" w:hAnsi="Cambria"/>
        </w:rPr>
        <w:t xml:space="preserve"> (autocares y autobuses)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Aéreo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AENA</w:t>
      </w:r>
      <w:r>
        <w:rPr>
          <w:rFonts w:ascii="Cambria" w:hAnsi="Cambria"/>
        </w:rPr>
        <w:t xml:space="preserve"> con récord de </w:t>
      </w:r>
      <w:r>
        <w:rPr>
          <w:rFonts w:ascii="Cambria" w:hAnsi="Cambria"/>
          <w:b/>
          <w:bCs/>
        </w:rPr>
        <w:t xml:space="preserve">321,6 millones</w:t>
      </w:r>
      <w:r>
        <w:rPr>
          <w:rFonts w:ascii="Cambria" w:hAnsi="Cambria"/>
        </w:rPr>
        <w:t xml:space="preserve"> de pasajeros (+3,9%) en 2025. Barajas lidera con 68,2 millones, seguido de El Prat. Plan </w:t>
      </w:r>
      <w:r>
        <w:rPr>
          <w:rFonts w:ascii="Cambria" w:hAnsi="Cambria"/>
          <w:b/>
          <w:bCs/>
        </w:rPr>
        <w:t xml:space="preserve">DORA 3 (2027-2031)</w:t>
      </w:r>
      <w:r>
        <w:rPr>
          <w:rFonts w:ascii="Cambria" w:hAnsi="Cambria"/>
        </w:rPr>
        <w:t xml:space="preserve">: 12.900 M€ de inversión, 4.500 M€ para Barajas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Marítimo</w:t>
      </w:r>
      <w:r>
        <w:rPr>
          <w:rFonts w:ascii="Cambria" w:hAnsi="Cambria"/>
        </w:rPr>
        <w:t xml:space="preserve">: marco normativo en el </w:t>
      </w:r>
      <w:r>
        <w:rPr>
          <w:rFonts w:ascii="Cambria" w:hAnsi="Cambria"/>
          <w:b/>
          <w:bCs/>
        </w:rPr>
        <w:t xml:space="preserve">Real Decreto Legislativo 2/2011</w:t>
      </w:r>
      <w:r>
        <w:rPr>
          <w:rFonts w:ascii="Cambria" w:hAnsi="Cambria"/>
        </w:rPr>
        <w:t xml:space="preserve">. Gestión por las </w:t>
      </w:r>
      <w:r>
        <w:rPr>
          <w:rFonts w:ascii="Cambria" w:hAnsi="Cambria"/>
          <w:b/>
          <w:bCs/>
        </w:rPr>
        <w:t xml:space="preserve">Autoridades Portuarias</w:t>
      </w:r>
      <w:r>
        <w:rPr>
          <w:rFonts w:ascii="Cambria" w:hAnsi="Cambria"/>
        </w:rPr>
        <w:t xml:space="preserve">, coordinadas por </w:t>
      </w:r>
      <w:r>
        <w:rPr>
          <w:rFonts w:ascii="Cambria" w:hAnsi="Cambria"/>
          <w:b/>
          <w:bCs/>
        </w:rPr>
        <w:t xml:space="preserve">Puertos del Estado</w:t>
      </w:r>
      <w:r>
        <w:rPr>
          <w:rFonts w:ascii="Cambria" w:hAnsi="Cambria"/>
        </w:rPr>
        <w:t xml:space="preserve">. 2025: 556,6 millones de toneladas (-0,2%). Ranking: </w:t>
      </w:r>
      <w:r>
        <w:rPr>
          <w:rFonts w:ascii="Cambria" w:hAnsi="Cambria"/>
          <w:b/>
          <w:bCs/>
        </w:rPr>
        <w:t xml:space="preserve">Algeciras</w:t>
      </w:r>
      <w:r>
        <w:rPr>
          <w:rFonts w:ascii="Cambria" w:hAnsi="Cambria"/>
        </w:rPr>
        <w:t xml:space="preserve">, Valencia y Barcelona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Ferroviario</w:t>
      </w:r>
      <w:r>
        <w:rPr>
          <w:rFonts w:ascii="Cambria" w:hAnsi="Cambria"/>
        </w:rPr>
        <w:t xml:space="preserve">: separación vertical (2003) entre </w:t>
      </w:r>
      <w:r>
        <w:rPr>
          <w:rFonts w:ascii="Cambria" w:hAnsi="Cambria"/>
          <w:b/>
          <w:bCs/>
        </w:rPr>
        <w:t xml:space="preserve">ADIF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RENFE Operadora</w:t>
      </w:r>
      <w:r>
        <w:rPr>
          <w:rFonts w:ascii="Cambria" w:hAnsi="Cambria"/>
        </w:rPr>
        <w:t xml:space="preserve">, con marco europeo en la </w:t>
      </w:r>
      <w:r>
        <w:rPr>
          <w:rFonts w:ascii="Cambria" w:hAnsi="Cambria"/>
          <w:b/>
          <w:bCs/>
        </w:rPr>
        <w:t xml:space="preserve">Directiva 2012/34/UE</w:t>
      </w:r>
      <w:r>
        <w:rPr>
          <w:rFonts w:ascii="Cambria" w:hAnsi="Cambria"/>
        </w:rPr>
        <w:t xml:space="preserve">. Liberalización de viajeros desde 2021 con </w:t>
      </w:r>
      <w:r>
        <w:rPr>
          <w:rFonts w:ascii="Cambria" w:hAnsi="Cambria"/>
          <w:b/>
          <w:bCs/>
        </w:rPr>
        <w:t xml:space="preserve">OUIGO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AVLO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Iryo</w:t>
      </w:r>
      <w:r>
        <w:rPr>
          <w:rFonts w:ascii="Cambria" w:hAnsi="Cambria"/>
        </w:rPr>
        <w:t xml:space="preserve">. Alta velocidad: casi 40 millones de viajeros en 2024 (+22%), con caída de precios del 35-42% en los principales corredores. Cuota de RENFE: 72% en viajeros y 42% en mercancías. Segmento de interés para el </w:t>
      </w:r>
      <w:r>
        <w:rPr>
          <w:rFonts w:ascii="Cambria" w:hAnsi="Cambria"/>
          <w:b/>
          <w:bCs/>
        </w:rPr>
        <w:t xml:space="preserve">FIEM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CONSTRUCCIÓN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7.1. Visión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VAB de la construcción: </w:t>
      </w:r>
      <w:r>
        <w:rPr>
          <w:rFonts w:ascii="Cambria" w:hAnsi="Cambria"/>
          <w:b/>
          <w:bCs/>
        </w:rPr>
        <w:t xml:space="preserve">+5,6%</w:t>
      </w:r>
      <w:r>
        <w:rPr>
          <w:rFonts w:ascii="Cambria" w:hAnsi="Cambria"/>
        </w:rPr>
        <w:t xml:space="preserve"> en 2025, frente a +2,8% del conjunto de la economía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Contraste con la UE (Eurostat, +0,5%), con retrocesos en Francia y Alemania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Euroconstruct Invierno 2025</w:t>
      </w:r>
      <w:r>
        <w:rPr>
          <w:rFonts w:ascii="Cambria" w:hAnsi="Cambria"/>
        </w:rPr>
        <w:t xml:space="preserve"> (ITeC): +4% en 2025, previsión de moderación hasta +2,2% en 2028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7.2. Construcción residencial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Compraventas: más de </w:t>
      </w:r>
      <w:r>
        <w:rPr>
          <w:rFonts w:ascii="Cambria" w:hAnsi="Cambria"/>
          <w:b/>
          <w:bCs/>
        </w:rPr>
        <w:t xml:space="preserve">750.000</w:t>
      </w:r>
      <w:r>
        <w:rPr>
          <w:rFonts w:ascii="Cambria" w:hAnsi="Cambria"/>
        </w:rPr>
        <w:t xml:space="preserve"> unidades en 2025 (+5,1%), 90% vivienda usada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Crédito hipotecario: +27,5% en el flujo. Tipo medio del 3,3% (2024) al 2,75% (2025)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Precios reales: </w:t>
      </w:r>
      <w:r>
        <w:rPr>
          <w:rFonts w:ascii="Cambria" w:hAnsi="Cambria"/>
          <w:b/>
          <w:bCs/>
        </w:rPr>
        <w:t xml:space="preserve">+9,7%</w:t>
      </w:r>
      <w:r>
        <w:rPr>
          <w:rFonts w:ascii="Cambria" w:hAnsi="Cambria"/>
        </w:rPr>
        <w:t xml:space="preserve"> en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Ratio precio-renta (</w:t>
      </w:r>
      <w:r>
        <w:rPr>
          <w:rFonts w:ascii="Cambria" w:hAnsi="Cambria"/>
          <w:b/>
          <w:bCs/>
        </w:rPr>
        <w:t xml:space="preserve">Banco de España</w:t>
      </w:r>
      <w:r>
        <w:rPr>
          <w:rFonts w:ascii="Cambria" w:hAnsi="Cambria"/>
        </w:rPr>
        <w:t xml:space="preserve">): 4,3 años de media, 6,8 años entre no propietarios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Restricciones de oferta: inversión residencial en el 5,8% del PIB, viviendas terminadas -9% (92.000 unidades)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estructurales: microempresas (95% de menos de 10 trabajadores), caída de productividad (-13% desde 2013), baja industrialización (2% frente al 30-40% de países nórdicos), escasez de mano de obra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Menor disponibilidad de vivienda en Madrid, Bizkaia y Barcelona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7.3. Construcción no residencial e ingeniería civil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residencial: crecimiento moderado (+0,8% en 2025), concentrado en logística y comercio. Rehabilitación impulsada por el </w:t>
      </w:r>
      <w:r>
        <w:rPr>
          <w:rFonts w:ascii="Cambria" w:hAnsi="Cambria"/>
          <w:b/>
          <w:bCs/>
        </w:rPr>
        <w:t xml:space="preserve">NGEU</w:t>
      </w:r>
      <w:r>
        <w:rPr>
          <w:rFonts w:ascii="Cambria" w:hAnsi="Cambria"/>
        </w:rPr>
        <w:t xml:space="preserve"> con retraso hasta 2024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Licitación pública 2025: </w:t>
      </w:r>
      <w:r>
        <w:rPr>
          <w:rFonts w:ascii="Cambria" w:hAnsi="Cambria"/>
          <w:b/>
          <w:bCs/>
        </w:rPr>
        <w:t xml:space="preserve">33.143 M€</w:t>
      </w:r>
      <w:r>
        <w:rPr>
          <w:rFonts w:ascii="Cambria" w:hAnsi="Cambria"/>
        </w:rPr>
        <w:t xml:space="preserve"> (+13%), mejor registro desde 2009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Fondos europeos (</w:t>
      </w:r>
      <w:r>
        <w:rPr>
          <w:rFonts w:ascii="Cambria" w:hAnsi="Cambria"/>
          <w:b/>
          <w:bCs/>
        </w:rPr>
        <w:t xml:space="preserve">MRR</w:t>
      </w:r>
      <w:r>
        <w:rPr>
          <w:rFonts w:ascii="Cambria" w:hAnsi="Cambria"/>
        </w:rPr>
        <w:t xml:space="preserve">): 18.418 M€ licitados entre 2019-2025, con </w:t>
      </w:r>
      <w:r>
        <w:rPr>
          <w:rFonts w:ascii="Cambria" w:hAnsi="Cambria"/>
          <w:b/>
          <w:bCs/>
        </w:rPr>
        <w:t xml:space="preserve">Adif</w:t>
      </w:r>
      <w:r>
        <w:rPr>
          <w:rFonts w:ascii="Cambria" w:hAnsi="Cambria"/>
        </w:rPr>
        <w:t xml:space="preserve"> como principal beneficiario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Caída de la financiación MRR en 2025: -36%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8.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servicios no turísticos son el segmento de mayor valor añadido y crecimiento potencial de la economía exterior española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Vectores de cambio: innovación financiera, liberalización de telecomunicaciones y 5G, modernización del transporte y competencia ferroviaria, rehabilitación energética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 consolidación exige digitalización, innovación y apertura a la competencia, en el marco del </w:t>
      </w:r>
      <w:r>
        <w:rPr>
          <w:rFonts w:ascii="Cambria" w:hAnsi="Cambria"/>
          <w:b/>
          <w:bCs/>
        </w:rPr>
        <w:t xml:space="preserve">GATS</w:t>
      </w:r>
      <w:r>
        <w:rPr>
          <w:rFonts w:ascii="Cambria" w:hAnsi="Cambria"/>
        </w:rPr>
        <w:t xml:space="preserve"> y de la política comercial de la UE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24 –Análisis de la evolución del comercio exterior de servicios en España (II). Servicios no turísticos (servicios prestados a las empresas, transportes, servicios informáticos, financieros, construcción…)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