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1. INTRODUCCIÓN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CITES</w:t>
      </w:r>
      <w:r>
        <w:rPr>
          <w:rFonts w:ascii="Cambria" w:hAnsi="Cambria"/>
        </w:rPr>
        <w:t xml:space="preserve"> (Convención sobre el Comercio Internacional de Especies Amenazadas de Fauna y Flora Silvestres) es un tratado internacional para proteger especies silvestres de una explotación no sostenible.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Origen en una resolución de la </w:t>
      </w:r>
      <w:r>
        <w:rPr>
          <w:rFonts w:ascii="Cambria" w:hAnsi="Cambria"/>
          <w:b/>
          <w:bCs/>
        </w:rPr>
        <w:t xml:space="preserve">8.ª Asamblea General de la UICN</w:t>
      </w:r>
      <w:r>
        <w:rPr>
          <w:rFonts w:ascii="Cambria" w:hAnsi="Cambria"/>
        </w:rPr>
        <w:t xml:space="preserve"> (Nairobi, </w:t>
      </w:r>
      <w:r>
        <w:rPr>
          <w:rFonts w:ascii="Cambria" w:hAnsi="Cambria"/>
          <w:b/>
          <w:bCs/>
        </w:rPr>
        <w:t xml:space="preserve">1963</w:t>
      </w:r>
      <w:r>
        <w:rPr>
          <w:rFonts w:ascii="Cambria" w:hAnsi="Cambria"/>
        </w:rPr>
        <w:t xml:space="preserve">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Firmado en </w:t>
      </w:r>
      <w:r>
        <w:rPr>
          <w:rFonts w:ascii="Cambria" w:hAnsi="Cambria"/>
          <w:b/>
          <w:bCs/>
        </w:rPr>
        <w:t xml:space="preserve">Washington</w:t>
      </w:r>
      <w:r>
        <w:rPr>
          <w:rFonts w:ascii="Cambria" w:hAnsi="Cambria"/>
        </w:rPr>
        <w:t xml:space="preserve"> el </w:t>
      </w:r>
      <w:r>
        <w:rPr>
          <w:rFonts w:ascii="Cambria" w:hAnsi="Cambria"/>
          <w:b/>
          <w:bCs/>
        </w:rPr>
        <w:t xml:space="preserve">3 de marzo de 1973</w:t>
      </w:r>
      <w:r>
        <w:rPr>
          <w:rFonts w:ascii="Cambria" w:hAnsi="Cambria"/>
        </w:rPr>
        <w:t xml:space="preserve"> por </w:t>
      </w:r>
      <w:r>
        <w:rPr>
          <w:rFonts w:ascii="Cambria" w:hAnsi="Cambria"/>
          <w:b/>
          <w:bCs/>
        </w:rPr>
        <w:t xml:space="preserve">21 países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25 artículos</w:t>
      </w:r>
      <w:r>
        <w:rPr>
          <w:rFonts w:ascii="Cambria" w:hAnsi="Cambria"/>
        </w:rPr>
        <w:t xml:space="preserve">, entró en vigor el </w:t>
      </w:r>
      <w:r>
        <w:rPr>
          <w:rFonts w:ascii="Cambria" w:hAnsi="Cambria"/>
          <w:b/>
          <w:bCs/>
        </w:rPr>
        <w:t xml:space="preserve">1 de julio de 1975</w:t>
      </w:r>
      <w:r>
        <w:rPr>
          <w:rFonts w:ascii="Cambria" w:hAnsi="Cambria"/>
        </w:rPr>
        <w:t xml:space="preserve">, tras la décima ratificación.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Actualmente </w:t>
      </w:r>
      <w:r>
        <w:rPr>
          <w:rFonts w:ascii="Cambria" w:hAnsi="Cambria"/>
          <w:b/>
          <w:bCs/>
        </w:rPr>
        <w:t xml:space="preserve">185 Partes</w:t>
      </w:r>
      <w:r>
        <w:rPr>
          <w:rFonts w:ascii="Cambria" w:hAnsi="Cambria"/>
        </w:rPr>
        <w:t xml:space="preserve"> (184 Estados y la </w:t>
      </w:r>
      <w:r>
        <w:rPr>
          <w:rFonts w:ascii="Cambria" w:hAnsi="Cambria"/>
          <w:b/>
          <w:bCs/>
        </w:rPr>
        <w:t xml:space="preserve">Unión Europea</w:t>
      </w:r>
      <w:r>
        <w:rPr>
          <w:rFonts w:ascii="Cambria" w:hAnsi="Cambria"/>
        </w:rPr>
        <w:t xml:space="preserve">, incorporada en </w:t>
      </w:r>
      <w:r>
        <w:rPr>
          <w:rFonts w:ascii="Cambria" w:hAnsi="Cambria"/>
          <w:b/>
          <w:bCs/>
        </w:rPr>
        <w:t xml:space="preserve">julio de 2015</w:t>
      </w:r>
      <w:r>
        <w:rPr>
          <w:rFonts w:ascii="Cambria" w:hAnsi="Cambria"/>
        </w:rPr>
        <w:t xml:space="preserve">). España es Parte desde el </w:t>
      </w:r>
      <w:r>
        <w:rPr>
          <w:rFonts w:ascii="Cambria" w:hAnsi="Cambria"/>
          <w:b/>
          <w:bCs/>
        </w:rPr>
        <w:t xml:space="preserve">16 de mayo de 1986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Otorga protección a más de </w:t>
      </w:r>
      <w:r>
        <w:rPr>
          <w:rFonts w:ascii="Cambria" w:hAnsi="Cambria"/>
          <w:b/>
          <w:bCs/>
        </w:rPr>
        <w:t xml:space="preserve">40.900 especies</w:t>
      </w:r>
      <w:r>
        <w:rPr>
          <w:rFonts w:ascii="Cambria" w:hAnsi="Cambria"/>
        </w:rPr>
        <w:t xml:space="preserve">, cifra creciente tras la </w:t>
      </w:r>
      <w:r>
        <w:rPr>
          <w:rFonts w:ascii="Cambria" w:hAnsi="Cambria"/>
          <w:b/>
          <w:bCs/>
        </w:rPr>
        <w:t xml:space="preserve">CoP19</w:t>
      </w:r>
      <w:r>
        <w:rPr>
          <w:rFonts w:ascii="Cambria" w:hAnsi="Cambria"/>
        </w:rPr>
        <w:t xml:space="preserve"> (Panamá, 2022) y la </w:t>
      </w:r>
      <w:r>
        <w:rPr>
          <w:rFonts w:ascii="Cambria" w:hAnsi="Cambria"/>
          <w:b/>
          <w:bCs/>
        </w:rPr>
        <w:t xml:space="preserve">CoP20</w:t>
      </w:r>
      <w:r>
        <w:rPr>
          <w:rFonts w:ascii="Cambria" w:hAnsi="Cambria"/>
        </w:rPr>
        <w:t xml:space="preserve"> (Samarkanda, 2025).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1.1. Objetivos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Instrumento de política comercial cuyo principio inspirador es la </w:t>
      </w:r>
      <w:r>
        <w:rPr>
          <w:rFonts w:ascii="Cambria" w:hAnsi="Cambria"/>
          <w:b/>
          <w:bCs/>
        </w:rPr>
        <w:t xml:space="preserve">conservación y utilización sostenible</w:t>
      </w:r>
      <w:r>
        <w:rPr>
          <w:rFonts w:ascii="Cambria" w:hAnsi="Cambria"/>
        </w:rPr>
        <w:t xml:space="preserve"> de las especies.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Busca el </w:t>
      </w:r>
      <w:r>
        <w:rPr>
          <w:rFonts w:ascii="Cambria" w:hAnsi="Cambria"/>
          <w:b/>
          <w:bCs/>
        </w:rPr>
        <w:t xml:space="preserve">equilibrio entre desarrollo y conservación</w:t>
      </w:r>
      <w:r>
        <w:rPr>
          <w:rFonts w:ascii="Cambria" w:hAnsi="Cambria"/>
        </w:rPr>
        <w:t xml:space="preserve">, sin menoscabar las legítimas exigencias de desarrollo económico.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Establece un marco jurídico para: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Prohibir</w:t>
      </w:r>
      <w:r>
        <w:rPr>
          <w:rFonts w:ascii="Cambria" w:hAnsi="Cambria"/>
        </w:rPr>
        <w:t xml:space="preserve"> el comercio internacional de especies en peligro de extinción.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Regular y controlar</w:t>
      </w:r>
      <w:r>
        <w:rPr>
          <w:rFonts w:ascii="Cambria" w:hAnsi="Cambria"/>
        </w:rPr>
        <w:t xml:space="preserve"> el comercio de otras especies amenazadas.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Crea una red mundial de controles mediante </w:t>
      </w:r>
      <w:r>
        <w:rPr>
          <w:rFonts w:ascii="Cambria" w:hAnsi="Cambria"/>
          <w:b/>
          <w:bCs/>
        </w:rPr>
        <w:t xml:space="preserve">permisos oficiales</w:t>
      </w:r>
      <w:r>
        <w:rPr>
          <w:rFonts w:ascii="Cambria" w:hAnsi="Cambria"/>
        </w:rPr>
        <w:t xml:space="preserve"> que documentan origen, destino y motivo del comercio.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1.2. Definiciones básicas (artículo I)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Especie</w:t>
      </w:r>
      <w:r>
        <w:rPr>
          <w:rFonts w:ascii="Cambria" w:hAnsi="Cambria"/>
        </w:rPr>
        <w:t xml:space="preserve">: toda especie, subespecie o población geográficamente aislada.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Espécimen</w:t>
      </w:r>
      <w:r>
        <w:rPr>
          <w:rFonts w:ascii="Cambria" w:hAnsi="Cambria"/>
        </w:rPr>
        <w:t xml:space="preserve">: animal o planta vivo o muerto, en Apéndices I y II, cualquier parte o derivado identificable, en Apéndice III, la parte o derivado especificado para esa especie.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2. ESTRUCTURA Y ÓRGANOS DEL CONVENIO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2.1. La Secretaría CITES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Administrada por el </w:t>
      </w:r>
      <w:r>
        <w:rPr>
          <w:rFonts w:ascii="Cambria" w:hAnsi="Cambria"/>
          <w:b/>
          <w:bCs/>
        </w:rPr>
        <w:t xml:space="preserve">PNUMA</w:t>
      </w:r>
      <w:r>
        <w:rPr>
          <w:rFonts w:ascii="Cambria" w:hAnsi="Cambria"/>
        </w:rPr>
        <w:t xml:space="preserve">. Sede en </w:t>
      </w:r>
      <w:r>
        <w:rPr>
          <w:rFonts w:ascii="Cambria" w:hAnsi="Cambria"/>
          <w:b/>
          <w:bCs/>
        </w:rPr>
        <w:t xml:space="preserve">Ginebra</w:t>
      </w:r>
      <w:r>
        <w:rPr>
          <w:rFonts w:ascii="Cambria" w:hAnsi="Cambria"/>
        </w:rPr>
        <w:t xml:space="preserve"> (Suiza).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Órgano de enlace entre Estados y otras autoridades. Se financia con aportaciones de las Partes.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Secretaria General: </w:t>
      </w:r>
      <w:r>
        <w:rPr>
          <w:rFonts w:ascii="Cambria" w:hAnsi="Cambria"/>
          <w:b/>
          <w:bCs/>
        </w:rPr>
        <w:t xml:space="preserve">Ivonne Higuero</w:t>
      </w:r>
      <w:r>
        <w:rPr>
          <w:rFonts w:ascii="Cambria" w:hAnsi="Cambria"/>
        </w:rPr>
        <w:t xml:space="preserve"> (Panamá).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2.2. La Conferencia de las Partes (CoP)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Órgano supremo</w:t>
      </w:r>
      <w:r>
        <w:rPr>
          <w:rFonts w:ascii="Cambria" w:hAnsi="Cambria"/>
        </w:rPr>
        <w:t xml:space="preserve"> de la Convención.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 reúne al menos cada dos o tres años en sesión ordinaria. Sesión extraordinaria a petición de un </w:t>
      </w:r>
      <w:r>
        <w:rPr>
          <w:rFonts w:ascii="Cambria" w:hAnsi="Cambria"/>
          <w:b/>
          <w:bCs/>
        </w:rPr>
        <w:t xml:space="preserve">tercio</w:t>
      </w:r>
      <w:r>
        <w:rPr>
          <w:rFonts w:ascii="Cambria" w:hAnsi="Cambria"/>
        </w:rPr>
        <w:t xml:space="preserve"> de las Partes.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Funciones: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Examina propuestas de modificación de los </w:t>
      </w:r>
      <w:r>
        <w:rPr>
          <w:rFonts w:ascii="Cambria" w:hAnsi="Cambria"/>
          <w:b/>
          <w:bCs/>
        </w:rPr>
        <w:t xml:space="preserve">Apéndices</w:t>
      </w:r>
      <w:r>
        <w:rPr>
          <w:rFonts w:ascii="Cambria" w:hAnsi="Cambria"/>
        </w:rPr>
        <w:t xml:space="preserve">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Revisa la aplicación de la CITES.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Recomienda medidas de mejora.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Adopta </w:t>
      </w:r>
      <w:r>
        <w:rPr>
          <w:rFonts w:ascii="Cambria" w:hAnsi="Cambria"/>
          <w:b/>
          <w:bCs/>
        </w:rPr>
        <w:t xml:space="preserve">Resoluciones</w:t>
      </w:r>
      <w:r>
        <w:rPr>
          <w:rFonts w:ascii="Cambria" w:hAnsi="Cambria"/>
        </w:rPr>
        <w:t xml:space="preserve"> (orientación a largo plazo) y </w:t>
      </w:r>
      <w:r>
        <w:rPr>
          <w:rFonts w:ascii="Cambria" w:hAnsi="Cambria"/>
          <w:b/>
          <w:bCs/>
        </w:rPr>
        <w:t xml:space="preserve">Decisiones</w:t>
      </w:r>
      <w:r>
        <w:rPr>
          <w:rFonts w:ascii="Cambria" w:hAnsi="Cambria"/>
        </w:rPr>
        <w:t xml:space="preserve"> (plazo fijo). Ninguna es jurídicamente vinculante por sí misma.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Apéndices, Resoluciones y Decisiones entran en vigor </w:t>
      </w:r>
      <w:r>
        <w:rPr>
          <w:rFonts w:ascii="Cambria" w:hAnsi="Cambria"/>
          <w:b/>
          <w:bCs/>
        </w:rPr>
        <w:t xml:space="preserve">90 días</w:t>
      </w:r>
      <w:r>
        <w:rPr>
          <w:rFonts w:ascii="Cambria" w:hAnsi="Cambria"/>
        </w:rPr>
        <w:t xml:space="preserve"> después de la CoP. En la UE requieren incorporación mediante </w:t>
      </w:r>
      <w:r>
        <w:rPr>
          <w:rFonts w:ascii="Cambria" w:hAnsi="Cambria"/>
          <w:b/>
          <w:bCs/>
        </w:rPr>
        <w:t xml:space="preserve">reglamentos</w:t>
      </w:r>
      <w:r>
        <w:rPr>
          <w:rFonts w:ascii="Cambria" w:hAnsi="Cambria"/>
        </w:rPr>
        <w:t xml:space="preserve"> de la Comisión.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20 reuniones</w:t>
      </w:r>
      <w:r>
        <w:rPr>
          <w:rFonts w:ascii="Cambria" w:hAnsi="Cambria"/>
        </w:rPr>
        <w:t xml:space="preserve"> celebradas hasta la fecha. Destacan: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CoP18</w:t>
      </w:r>
      <w:r>
        <w:rPr>
          <w:rFonts w:ascii="Cambria" w:hAnsi="Cambria"/>
        </w:rPr>
        <w:t xml:space="preserve"> (Ginebra, 2019): 56 propuestas (elefante africano, jirafas, tiburones, pangolines...).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CoP19</w:t>
      </w:r>
      <w:r>
        <w:rPr>
          <w:rFonts w:ascii="Cambria" w:hAnsi="Cambria"/>
        </w:rPr>
        <w:t xml:space="preserve"> (Panamá, 2022): refuerzo de protección de cerca de </w:t>
      </w:r>
      <w:r>
        <w:rPr>
          <w:rFonts w:ascii="Cambria" w:hAnsi="Cambria"/>
          <w:b/>
          <w:bCs/>
        </w:rPr>
        <w:t xml:space="preserve">600 especies</w:t>
      </w:r>
      <w:r>
        <w:rPr>
          <w:rFonts w:ascii="Cambria" w:hAnsi="Cambria"/>
        </w:rPr>
        <w:t xml:space="preserve">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CoP20</w:t>
      </w:r>
      <w:r>
        <w:rPr>
          <w:rFonts w:ascii="Cambria" w:hAnsi="Cambria"/>
        </w:rPr>
        <w:t xml:space="preserve"> (Samarkanda, 2025): 50.º aniversario, 185 Partes, 51 propuestas, más de </w:t>
      </w:r>
      <w:r>
        <w:rPr>
          <w:rFonts w:ascii="Cambria" w:hAnsi="Cambria"/>
          <w:b/>
          <w:bCs/>
        </w:rPr>
        <w:t xml:space="preserve">350 decisiones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82 nuevas inclusiones</w:t>
      </w:r>
      <w:r>
        <w:rPr>
          <w:rFonts w:ascii="Cambria" w:hAnsi="Cambria"/>
        </w:rPr>
        <w:t xml:space="preserve"> (tiburón ballena, tiburón oceánico, mantarrayas al Apéndice I, desdoblamiento del elefante africano en dos especies).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2.3. Comités Permanentes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Comité Permanente</w:t>
      </w:r>
      <w:r>
        <w:rPr>
          <w:rFonts w:ascii="Cambria" w:hAnsi="Cambria"/>
        </w:rPr>
        <w:t xml:space="preserve">: directrices de aplicación, supervisión presupuestaria de la Secretaría, coordinación de comités y grupos de trabajo.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Comités de Fauna y Flora</w:t>
      </w:r>
      <w:r>
        <w:rPr>
          <w:rFonts w:ascii="Cambria" w:hAnsi="Cambria"/>
        </w:rPr>
        <w:t xml:space="preserve">: creados en la </w:t>
      </w:r>
      <w:r>
        <w:rPr>
          <w:rFonts w:ascii="Cambria" w:hAnsi="Cambria"/>
          <w:b/>
          <w:bCs/>
        </w:rPr>
        <w:t xml:space="preserve">6.ª reunión de la CoP</w:t>
      </w:r>
      <w:r>
        <w:rPr>
          <w:rFonts w:ascii="Cambria" w:hAnsi="Cambria"/>
        </w:rPr>
        <w:t xml:space="preserve"> (Ottawa, 1987).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Apoyo científico a la CoP, la Secretaría y otros comités.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Cuestiones de nomenclatura.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Exámenes periódicos de especies y categorización en Apéndices.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Examen del Comercio Significativo</w:t>
      </w:r>
      <w:r>
        <w:rPr>
          <w:rFonts w:ascii="Cambria" w:hAnsi="Cambria"/>
        </w:rPr>
        <w:t xml:space="preserve">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Proyectos de resolución.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 reúnen dos veces entre CoP. Miembros de las seis regiones geográficas CITES.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antiguo Comité de Nomenclatura se integró en ambos comités científicos (CoP14, La Haya, 2007).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Cada Estado Parte designa </w:t>
      </w:r>
      <w:r>
        <w:rPr>
          <w:rFonts w:ascii="Cambria" w:hAnsi="Cambria"/>
          <w:b/>
          <w:bCs/>
        </w:rPr>
        <w:t xml:space="preserve">Autoridades Administrativas</w:t>
      </w:r>
      <w:r>
        <w:rPr>
          <w:rFonts w:ascii="Cambria" w:hAnsi="Cambria"/>
        </w:rPr>
        <w:t xml:space="preserve"> (concesión de licencias) y </w:t>
      </w:r>
      <w:r>
        <w:rPr>
          <w:rFonts w:ascii="Cambria" w:hAnsi="Cambria"/>
          <w:b/>
          <w:bCs/>
        </w:rPr>
        <w:t xml:space="preserve">Autoridades Científicas</w:t>
      </w:r>
      <w:r>
        <w:rPr>
          <w:rFonts w:ascii="Cambria" w:hAnsi="Cambria"/>
        </w:rPr>
        <w:t xml:space="preserve"> (asesoramiento sobre efectos del comercio).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3. EL SISTEMA DE APÉNDICES Y EL RÉGIMEN DE PERMISOS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Apéndice I</w:t>
      </w:r>
      <w:r>
        <w:rPr>
          <w:rFonts w:ascii="Cambria" w:hAnsi="Cambria"/>
        </w:rPr>
        <w:t xml:space="preserve">: especies en peligro de extinción (en torno al </w:t>
      </w:r>
      <w:r>
        <w:rPr>
          <w:rFonts w:ascii="Cambria" w:hAnsi="Cambria"/>
          <w:b/>
          <w:bCs/>
        </w:rPr>
        <w:t xml:space="preserve">2%</w:t>
      </w:r>
      <w:r>
        <w:rPr>
          <w:rFonts w:ascii="Cambria" w:hAnsi="Cambria"/>
        </w:rPr>
        <w:t xml:space="preserve"> del total). Comercio prohibido salvo excepciones (investigación, trofeos de caza, cría en cautividad). Requiere permisos de </w:t>
      </w:r>
      <w:r>
        <w:rPr>
          <w:rFonts w:ascii="Cambria" w:hAnsi="Cambria"/>
          <w:b/>
          <w:bCs/>
        </w:rPr>
        <w:t xml:space="preserve">exportación e importación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Apéndice II</w:t>
      </w:r>
      <w:r>
        <w:rPr>
          <w:rFonts w:ascii="Cambria" w:hAnsi="Cambria"/>
        </w:rPr>
        <w:t xml:space="preserve">: la mayoría de especies CITES (en torno al </w:t>
      </w:r>
      <w:r>
        <w:rPr>
          <w:rFonts w:ascii="Cambria" w:hAnsi="Cambria"/>
          <w:b/>
          <w:bCs/>
        </w:rPr>
        <w:t xml:space="preserve">97%</w:t>
      </w:r>
      <w:r>
        <w:rPr>
          <w:rFonts w:ascii="Cambria" w:hAnsi="Cambria"/>
        </w:rPr>
        <w:t xml:space="preserve">). No están necesariamente en peligro pero podrían estarlo. Requiere permiso de </w:t>
      </w:r>
      <w:r>
        <w:rPr>
          <w:rFonts w:ascii="Cambria" w:hAnsi="Cambria"/>
          <w:b/>
          <w:bCs/>
        </w:rPr>
        <w:t xml:space="preserve">exportación</w:t>
      </w:r>
      <w:r>
        <w:rPr>
          <w:rFonts w:ascii="Cambria" w:hAnsi="Cambria"/>
        </w:rPr>
        <w:t xml:space="preserve"> (o certificado de reexportación). No se exige permiso de importación salvo legislación nacional.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Apéndice III</w:t>
      </w:r>
      <w:r>
        <w:rPr>
          <w:rFonts w:ascii="Cambria" w:hAnsi="Cambria"/>
        </w:rPr>
        <w:t xml:space="preserve">: especies reguladas por un país concreto (menos del </w:t>
      </w:r>
      <w:r>
        <w:rPr>
          <w:rFonts w:ascii="Cambria" w:hAnsi="Cambria"/>
          <w:b/>
          <w:bCs/>
        </w:rPr>
        <w:t xml:space="preserve">1%</w:t>
      </w:r>
      <w:r>
        <w:rPr>
          <w:rFonts w:ascii="Cambria" w:hAnsi="Cambria"/>
        </w:rPr>
        <w:t xml:space="preserve">). Requiere permiso de exportación o certificado de origen.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Exenciones del artículo VII</w:t>
      </w:r>
      <w:r>
        <w:rPr>
          <w:rFonts w:ascii="Cambria" w:hAnsi="Cambria"/>
        </w:rPr>
        <w:t xml:space="preserve">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Especímenes en tránsito o transbordo bajo control aduanero.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Animales/plantas criados en cautividad del Apéndice I, tratados como Apéndice II.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Especímenes </w:t>
      </w:r>
      <w:r>
        <w:rPr>
          <w:rFonts w:ascii="Cambria" w:hAnsi="Cambria"/>
          <w:b/>
          <w:bCs/>
        </w:rPr>
        <w:t xml:space="preserve">Pre-Convención</w:t>
      </w:r>
      <w:r>
        <w:rPr>
          <w:rFonts w:ascii="Cambria" w:hAnsi="Cambria"/>
        </w:rPr>
        <w:t xml:space="preserve">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Artículos personales o del hogar dentro de límites cuantitativos (ej. hasta </w:t>
      </w:r>
      <w:r>
        <w:rPr>
          <w:rFonts w:ascii="Cambria" w:hAnsi="Cambria"/>
          <w:b/>
          <w:bCs/>
        </w:rPr>
        <w:t xml:space="preserve">125 gramos</w:t>
      </w:r>
      <w:r>
        <w:rPr>
          <w:rFonts w:ascii="Cambria" w:hAnsi="Cambria"/>
        </w:rPr>
        <w:t xml:space="preserve"> de caviar de esturión).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Especímenes para investigación científica entre instituciones registradas.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Colecciones o exhibiciones itinerantes (circos).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4. CUPOS, COMERCIO CON ESTADOS NO PARTE Y LEGISLACIÓN NACIONAL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4.1. Cupos de exportación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Cupos nacionales</w:t>
      </w:r>
      <w:r>
        <w:rPr>
          <w:rFonts w:ascii="Cambria" w:hAnsi="Cambria"/>
        </w:rPr>
        <w:t xml:space="preserve">: unilaterales, por año civil. Requieren </w:t>
      </w:r>
      <w:r>
        <w:rPr>
          <w:rFonts w:ascii="Cambria" w:hAnsi="Cambria"/>
          <w:b/>
          <w:bCs/>
        </w:rPr>
        <w:t xml:space="preserve">dictamen de extracción no perjudicial</w:t>
      </w:r>
      <w:r>
        <w:rPr>
          <w:rFonts w:ascii="Cambria" w:hAnsi="Cambria"/>
        </w:rPr>
        <w:t xml:space="preserve"> de la Autoridad Científica.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Cupos de la CoP</w:t>
      </w:r>
      <w:r>
        <w:rPr>
          <w:rFonts w:ascii="Cambria" w:hAnsi="Cambria"/>
        </w:rPr>
        <w:t xml:space="preserve">: fijados en Apéndices o Resoluciones (elefante africano, leopardo, rinoceronte negro).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Cupos compartidos</w:t>
      </w:r>
      <w:r>
        <w:rPr>
          <w:rFonts w:ascii="Cambria" w:hAnsi="Cambria"/>
        </w:rPr>
        <w:t xml:space="preserve"> entre países Parte (esturiones y peces espátula).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4.2. Comercio con Estados no Parte (artículo X)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Estados Parte pueden aceptar documentos comparables de Estados no Parte con autoridades equivalentes.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4.3. Efectos sobre la legislación nacional (artículo XIV)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Las Partes pueden adoptar medidas internas más estrictas.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adhesión es voluntaria pero, ratificada, es </w:t>
      </w:r>
      <w:r>
        <w:rPr>
          <w:rFonts w:ascii="Cambria" w:hAnsi="Cambria"/>
          <w:b/>
          <w:bCs/>
        </w:rPr>
        <w:t xml:space="preserve">jurídicamente vinculante</w:t>
      </w:r>
      <w:r>
        <w:rPr>
          <w:rFonts w:ascii="Cambria" w:hAnsi="Cambria"/>
        </w:rPr>
        <w:t xml:space="preserve">. No suplanta la legislación nacional.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4.4. Enmiendas y reservas (artículos XV, XVI y XXIII)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Las Partes pueden presentar enmiendas para incluir o excluir especies de los Apéndices.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reserva</w:t>
      </w:r>
      <w:r>
        <w:rPr>
          <w:rFonts w:ascii="Cambria" w:hAnsi="Cambria"/>
        </w:rPr>
        <w:t xml:space="preserve"> no retirada convierte a la Parte en Estado no Parte respecto de esa especie.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5. LAS AUTORIDADES CITES EN ESPAÑA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Aplicación directa del </w:t>
      </w:r>
      <w:r>
        <w:rPr>
          <w:rFonts w:ascii="Cambria" w:hAnsi="Cambria"/>
          <w:b/>
          <w:bCs/>
        </w:rPr>
        <w:t xml:space="preserve">Reglamento (CE) 338/97</w:t>
      </w:r>
      <w:r>
        <w:rPr>
          <w:rFonts w:ascii="Cambria" w:hAnsi="Cambria"/>
        </w:rPr>
        <w:t xml:space="preserve"> (modificado, entre otros, por el </w:t>
      </w:r>
      <w:r>
        <w:rPr>
          <w:rFonts w:ascii="Cambria" w:hAnsi="Cambria"/>
          <w:b/>
          <w:bCs/>
        </w:rPr>
        <w:t xml:space="preserve">Reglamento (UE) 2023/966</w:t>
      </w:r>
      <w:r>
        <w:rPr>
          <w:rFonts w:ascii="Cambria" w:hAnsi="Cambria"/>
        </w:rPr>
        <w:t xml:space="preserve">) y del </w:t>
      </w:r>
      <w:r>
        <w:rPr>
          <w:rFonts w:ascii="Cambria" w:hAnsi="Cambria"/>
          <w:b/>
          <w:bCs/>
        </w:rPr>
        <w:t xml:space="preserve">Reglamento (CE) 865/2006</w:t>
      </w:r>
      <w:r>
        <w:rPr>
          <w:rFonts w:ascii="Cambria" w:hAnsi="Cambria"/>
        </w:rPr>
        <w:t xml:space="preserve">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5.1. Autoridad Administrativa principal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Dirección General de Biodiversidad, Bosques y Desertificación</w:t>
      </w:r>
      <w:r>
        <w:rPr>
          <w:rFonts w:ascii="Cambria" w:hAnsi="Cambria"/>
        </w:rPr>
        <w:t xml:space="preserve"> (MITECO), sustituyó a la antigua Dirección General de Comercio Exterior.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Funciones: autorizaciones, permisos y certificados, legalizaciones Pre-Convención, registro de colecciones, control de cría en cautividad, informe anual, representación de España.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5.2. Servicio de Inspección SOIVRE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Ya no es Autoridad Administrativa principal, pero mantiene un papel operativo esencial en frontera.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Emite el </w:t>
      </w:r>
      <w:r>
        <w:rPr>
          <w:rFonts w:ascii="Cambria" w:hAnsi="Cambria"/>
          <w:b/>
          <w:bCs/>
        </w:rPr>
        <w:t xml:space="preserve">Documento de Inspección de Especies Sujetas a Control (DIESAC)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Función ejercida por </w:t>
      </w:r>
      <w:r>
        <w:rPr>
          <w:rFonts w:ascii="Cambria" w:hAnsi="Cambria"/>
          <w:b/>
          <w:bCs/>
        </w:rPr>
        <w:t xml:space="preserve">encomienda de gestión</w:t>
      </w:r>
      <w:r>
        <w:rPr>
          <w:rFonts w:ascii="Cambria" w:hAnsi="Cambria"/>
        </w:rPr>
        <w:t xml:space="preserve"> de la AEAT a la Secretaría de Estado de Comercio (Resolución de </w:t>
      </w:r>
      <w:r>
        <w:rPr>
          <w:rFonts w:ascii="Cambria" w:hAnsi="Cambria"/>
          <w:b/>
          <w:bCs/>
        </w:rPr>
        <w:t xml:space="preserve">20 de enero de 2023</w:t>
      </w:r>
      <w:r>
        <w:rPr>
          <w:rFonts w:ascii="Cambria" w:hAnsi="Cambria"/>
        </w:rPr>
        <w:t xml:space="preserve">), vigencia inicial de </w:t>
      </w:r>
      <w:r>
        <w:rPr>
          <w:rFonts w:ascii="Cambria" w:hAnsi="Cambria"/>
          <w:b/>
          <w:bCs/>
        </w:rPr>
        <w:t xml:space="preserve">cuatro años</w:t>
      </w:r>
      <w:r>
        <w:rPr>
          <w:rFonts w:ascii="Cambria" w:hAnsi="Cambria"/>
        </w:rPr>
        <w:t xml:space="preserve">, con horizonte a comienzos de </w:t>
      </w:r>
      <w:r>
        <w:rPr>
          <w:rFonts w:ascii="Cambria" w:hAnsi="Cambria"/>
          <w:b/>
          <w:bCs/>
        </w:rPr>
        <w:t xml:space="preserve">2027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12 Servicios de Inspección SOIVRE</w:t>
      </w:r>
      <w:r>
        <w:rPr>
          <w:rFonts w:ascii="Cambria" w:hAnsi="Cambria"/>
        </w:rPr>
        <w:t xml:space="preserve"> en PIF: Vigo, Barcelona, Bilbao, Alicante, Valencia, Sevilla, Málaga, Mallorca, Tenerife, Las Palmas, Algeciras y Madrid.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5.3. Verificaciones de Aduanas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Conforme a la disposición adicional primera del </w:t>
      </w:r>
      <w:r>
        <w:rPr>
          <w:rFonts w:ascii="Cambria" w:hAnsi="Cambria"/>
          <w:b/>
          <w:bCs/>
        </w:rPr>
        <w:t xml:space="preserve">RD 986/2021</w:t>
      </w:r>
      <w:r>
        <w:rPr>
          <w:rFonts w:ascii="Cambria" w:hAnsi="Cambria"/>
        </w:rPr>
        <w:t xml:space="preserve">, la </w:t>
      </w:r>
      <w:r>
        <w:rPr>
          <w:rFonts w:ascii="Cambria" w:hAnsi="Cambria"/>
          <w:b/>
          <w:bCs/>
        </w:rPr>
        <w:t xml:space="preserve">AEAT</w:t>
      </w:r>
      <w:r>
        <w:rPr>
          <w:rFonts w:ascii="Cambria" w:hAnsi="Cambria"/>
        </w:rPr>
        <w:t xml:space="preserve"> controla en frontera: exige documentación CITES, diligencia documentos, exige el DIESAC, realiza inspección física según análisis de riesgo e incoa expedientes de contrabando.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5.4. Autoridad Científica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RD 986/2021</w:t>
      </w:r>
      <w:r>
        <w:rPr>
          <w:rFonts w:ascii="Cambria" w:hAnsi="Cambria"/>
        </w:rPr>
        <w:t xml:space="preserve"> designó a la </w:t>
      </w:r>
      <w:r>
        <w:rPr>
          <w:rFonts w:ascii="Cambria" w:hAnsi="Cambria"/>
          <w:b/>
          <w:bCs/>
        </w:rPr>
        <w:t xml:space="preserve">Agencia Estatal CSIC</w:t>
      </w:r>
      <w:r>
        <w:rPr>
          <w:rFonts w:ascii="Cambria" w:hAnsi="Cambria"/>
        </w:rPr>
        <w:t xml:space="preserve">, en sustitución de la Dirección General de Calidad y Evaluación Ambiental.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Emite dictámenes sobre conservación, instalaciones y destino de especímenes decomisados.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Participa en el </w:t>
      </w:r>
      <w:r>
        <w:rPr>
          <w:rFonts w:ascii="Cambria" w:hAnsi="Cambria"/>
          <w:b/>
          <w:bCs/>
        </w:rPr>
        <w:t xml:space="preserve">Grupo de Revisión Científica de la UE</w:t>
      </w:r>
      <w:r>
        <w:rPr>
          <w:rFonts w:ascii="Cambria" w:hAnsi="Cambria"/>
        </w:rPr>
        <w:t xml:space="preserve">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5.5. Infracciones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Tipificadas como infracción administrativa (legislación de conservación y de contrabando) y como delito en el </w:t>
      </w:r>
      <w:r>
        <w:rPr>
          <w:rFonts w:ascii="Cambria" w:hAnsi="Cambria"/>
          <w:b/>
          <w:bCs/>
        </w:rPr>
        <w:t xml:space="preserve">Código Penal</w:t>
      </w:r>
      <w:r>
        <w:rPr>
          <w:rFonts w:ascii="Cambria" w:hAnsi="Cambria"/>
        </w:rPr>
        <w:t xml:space="preserve">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6. RELACIÓN CON OTRAS CONVENCIONES Y ORGANIZACIONES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Visión Estratégica CITES 2021-2030</w:t>
      </w:r>
      <w:r>
        <w:rPr>
          <w:rFonts w:ascii="Cambria" w:hAnsi="Cambria"/>
        </w:rPr>
        <w:t xml:space="preserve">, adoptada en la </w:t>
      </w:r>
      <w:r>
        <w:rPr>
          <w:rFonts w:ascii="Cambria" w:hAnsi="Cambria"/>
          <w:b/>
          <w:bCs/>
        </w:rPr>
        <w:t xml:space="preserve">CoP18</w:t>
      </w:r>
      <w:r>
        <w:rPr>
          <w:rFonts w:ascii="Cambria" w:hAnsi="Cambria"/>
        </w:rPr>
        <w:t xml:space="preserve"> (Ginebra, 2019), sucesora de la Visión 2008-2020.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Objetivos: coordinación con </w:t>
      </w:r>
      <w:r>
        <w:rPr>
          <w:rFonts w:ascii="Cambria" w:hAnsi="Cambria"/>
          <w:b/>
          <w:bCs/>
        </w:rPr>
        <w:t xml:space="preserve">PNUMA</w:t>
      </w:r>
      <w:r>
        <w:rPr>
          <w:rFonts w:ascii="Cambria" w:hAnsi="Cambria"/>
        </w:rPr>
        <w:t xml:space="preserve">, el </w:t>
      </w:r>
      <w:r>
        <w:rPr>
          <w:rFonts w:ascii="Cambria" w:hAnsi="Cambria"/>
          <w:b/>
          <w:bCs/>
        </w:rPr>
        <w:t xml:space="preserve">Convenio sobre la Diversidad Biológica</w:t>
      </w:r>
      <w:r>
        <w:rPr>
          <w:rFonts w:ascii="Cambria" w:hAnsi="Cambria"/>
        </w:rPr>
        <w:t xml:space="preserve">, la </w:t>
      </w:r>
      <w:r>
        <w:rPr>
          <w:rFonts w:ascii="Cambria" w:hAnsi="Cambria"/>
          <w:b/>
          <w:bCs/>
        </w:rPr>
        <w:t xml:space="preserve">UICN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TRAFFIC</w:t>
      </w:r>
      <w:r>
        <w:rPr>
          <w:rFonts w:ascii="Cambria" w:hAnsi="Cambria"/>
        </w:rPr>
        <w:t xml:space="preserve">, y que la </w:t>
      </w:r>
      <w:r>
        <w:rPr>
          <w:rFonts w:ascii="Cambria" w:hAnsi="Cambria"/>
          <w:b/>
          <w:bCs/>
        </w:rPr>
        <w:t xml:space="preserve">OMC</w:t>
      </w:r>
      <w:r>
        <w:rPr>
          <w:rFonts w:ascii="Cambria" w:hAnsi="Cambria"/>
        </w:rPr>
        <w:t xml:space="preserve"> reconozca las disposiciones CITES.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Vinculación con la </w:t>
      </w:r>
      <w:r>
        <w:rPr>
          <w:rFonts w:ascii="Cambria" w:hAnsi="Cambria"/>
          <w:b/>
          <w:bCs/>
        </w:rPr>
        <w:t xml:space="preserve">Agenda 2030</w:t>
      </w:r>
      <w:r>
        <w:rPr>
          <w:rFonts w:ascii="Cambria" w:hAnsi="Cambria"/>
        </w:rPr>
        <w:t xml:space="preserve">, el </w:t>
      </w:r>
      <w:r>
        <w:rPr>
          <w:rFonts w:ascii="Cambria" w:hAnsi="Cambria"/>
          <w:b/>
          <w:bCs/>
        </w:rPr>
        <w:t xml:space="preserve">Marco Mundial de Diversidad Biológica de Kunming-Montreal</w:t>
      </w:r>
      <w:r>
        <w:rPr>
          <w:rFonts w:ascii="Cambria" w:hAnsi="Cambria"/>
        </w:rPr>
        <w:t xml:space="preserve"> (2022) y el </w:t>
      </w:r>
      <w:r>
        <w:rPr>
          <w:rFonts w:ascii="Cambria" w:hAnsi="Cambria"/>
          <w:b/>
          <w:bCs/>
        </w:rPr>
        <w:t xml:space="preserve">IPBES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Memorandos de Entendimiento de la Secretaría CITES: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FAO</w:t>
      </w:r>
      <w:r>
        <w:rPr>
          <w:rFonts w:ascii="Cambria" w:hAnsi="Cambria"/>
        </w:rPr>
        <w:t xml:space="preserve"> (2006): intercambio de información, cooperación en capacitación, revisión científica de propuestas.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OMA</w:t>
      </w:r>
      <w:r>
        <w:rPr>
          <w:rFonts w:ascii="Cambria" w:hAnsi="Cambria"/>
        </w:rPr>
        <w:t xml:space="preserve"> (1996): cooperación contra el tráfico ilícito, formación para Aduanas.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ICPO INTERPOL</w:t>
      </w:r>
      <w:r>
        <w:rPr>
          <w:rFonts w:ascii="Cambria" w:hAnsi="Cambria"/>
        </w:rPr>
        <w:t xml:space="preserve"> (1998): intercambio de información, difusión a autoridades de observancia.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7. LAS ENMIENDAS DE BONN Y GABORONE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CITES solo previó la participación de Estados, por lo que fue necesaria una enmienda para admitir Organizaciones Regionales de Integración Económica.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7.1. Enmienda de Gaborone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Aprobada el </w:t>
      </w:r>
      <w:r>
        <w:rPr>
          <w:rFonts w:ascii="Cambria" w:hAnsi="Cambria"/>
          <w:b/>
          <w:bCs/>
        </w:rPr>
        <w:t xml:space="preserve">30 de abril de 1983</w:t>
      </w:r>
      <w:r>
        <w:rPr>
          <w:rFonts w:ascii="Cambria" w:hAnsi="Cambria"/>
        </w:rPr>
        <w:t xml:space="preserve"> (Botsuana), modifica el </w:t>
      </w:r>
      <w:r>
        <w:rPr>
          <w:rFonts w:ascii="Cambria" w:hAnsi="Cambria"/>
          <w:b/>
          <w:bCs/>
        </w:rPr>
        <w:t xml:space="preserve">artículo XXI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Entró en vigor el </w:t>
      </w:r>
      <w:r>
        <w:rPr>
          <w:rFonts w:ascii="Cambria" w:hAnsi="Cambria"/>
          <w:b/>
          <w:bCs/>
        </w:rPr>
        <w:t xml:space="preserve">29 de noviembre de 2013</w:t>
      </w:r>
      <w:r>
        <w:rPr>
          <w:rFonts w:ascii="Cambria" w:hAnsi="Cambria"/>
        </w:rPr>
        <w:t xml:space="preserve">, tras la aceptación de Costa Rica (54 de 80 Estados requeridos).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Aceptada por </w:t>
      </w:r>
      <w:r>
        <w:rPr>
          <w:rFonts w:ascii="Cambria" w:hAnsi="Cambria"/>
          <w:b/>
          <w:bCs/>
        </w:rPr>
        <w:t xml:space="preserve">103 de las 185 Partes</w:t>
      </w:r>
      <w:r>
        <w:rPr>
          <w:rFonts w:ascii="Cambria" w:hAnsi="Cambria"/>
        </w:rPr>
        <w:t xml:space="preserve">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7.2. Enmienda de Bonn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Aprobada el </w:t>
      </w:r>
      <w:r>
        <w:rPr>
          <w:rFonts w:ascii="Cambria" w:hAnsi="Cambria"/>
          <w:b/>
          <w:bCs/>
        </w:rPr>
        <w:t xml:space="preserve">22 de junio de 1979</w:t>
      </w:r>
      <w:r>
        <w:rPr>
          <w:rFonts w:ascii="Cambria" w:hAnsi="Cambria"/>
        </w:rPr>
        <w:t xml:space="preserve">, modifica el párrafo </w:t>
      </w:r>
      <w:r>
        <w:rPr>
          <w:rFonts w:ascii="Cambria" w:hAnsi="Cambria"/>
          <w:b/>
          <w:bCs/>
        </w:rPr>
        <w:t xml:space="preserve">3.a) del artículo XI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Entró en vigor el </w:t>
      </w:r>
      <w:r>
        <w:rPr>
          <w:rFonts w:ascii="Cambria" w:hAnsi="Cambria"/>
          <w:b/>
          <w:bCs/>
        </w:rPr>
        <w:t xml:space="preserve">13 de abril de 1987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Aceptada por </w:t>
      </w:r>
      <w:r>
        <w:rPr>
          <w:rFonts w:ascii="Cambria" w:hAnsi="Cambria"/>
          <w:b/>
          <w:bCs/>
        </w:rPr>
        <w:t xml:space="preserve">150 de las 185 Partes</w:t>
      </w:r>
      <w:r>
        <w:rPr>
          <w:rFonts w:ascii="Cambria" w:hAnsi="Cambria"/>
        </w:rPr>
        <w:t xml:space="preserve">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8. CONCLUSIÓN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CITES combina un sistema jurídico de </w:t>
      </w:r>
      <w:r>
        <w:rPr>
          <w:rFonts w:ascii="Cambria" w:hAnsi="Cambria"/>
          <w:b/>
          <w:bCs/>
        </w:rPr>
        <w:t xml:space="preserve">Apéndices y permisos</w:t>
      </w:r>
      <w:r>
        <w:rPr>
          <w:rFonts w:ascii="Cambria" w:hAnsi="Cambria"/>
        </w:rPr>
        <w:t xml:space="preserve"> con una red institucional que abarca desde la Secretaría y la CoP hasta las autoridades nacionales.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España, el </w:t>
      </w:r>
      <w:r>
        <w:rPr>
          <w:rFonts w:ascii="Cambria" w:hAnsi="Cambria"/>
          <w:b/>
          <w:bCs/>
        </w:rPr>
        <w:t xml:space="preserve">RD 986/2021</w:t>
      </w:r>
      <w:r>
        <w:rPr>
          <w:rFonts w:ascii="Cambria" w:hAnsi="Cambria"/>
        </w:rPr>
        <w:t xml:space="preserve"> trasladó la Autoridad Administrativa principal al ámbito medioambiental, si bien el </w:t>
      </w:r>
      <w:r>
        <w:rPr>
          <w:rFonts w:ascii="Cambria" w:hAnsi="Cambria"/>
          <w:b/>
          <w:bCs/>
        </w:rPr>
        <w:t xml:space="preserve">Servicio de Inspección SOIVRE</w:t>
      </w:r>
      <w:r>
        <w:rPr>
          <w:rFonts w:ascii="Cambria" w:hAnsi="Cambria"/>
        </w:rPr>
        <w:t xml:space="preserve"> conserva un papel técnico esencial mediante el </w:t>
      </w:r>
      <w:r>
        <w:rPr>
          <w:rFonts w:ascii="Cambria" w:hAnsi="Cambria"/>
          <w:b/>
          <w:bCs/>
        </w:rPr>
        <w:t xml:space="preserve">DIESAC</w:t>
      </w:r>
      <w:r>
        <w:rPr>
          <w:rFonts w:ascii="Cambria" w:hAnsi="Cambria"/>
        </w:rPr>
        <w:t xml:space="preserve">, cuya continuidad depende de la renovación de la encomienda de gestión con horizonte a comienzos de </w:t>
      </w:r>
      <w:r>
        <w:rPr>
          <w:rFonts w:ascii="Cambria" w:hAnsi="Cambria"/>
          <w:b/>
          <w:bCs/>
        </w:rPr>
        <w:t xml:space="preserve">2027</w:t>
      </w:r>
      <w:r>
        <w:rPr>
          <w:rFonts w:ascii="Cambria" w:hAnsi="Cambria"/>
        </w:rPr>
        <w:t xml:space="preserve">.</w:t>
      </w:r>
    </w:p>
    <w:sectPr w:rsidR="00A65383" w:rsidRPr="007114D7">
      <w:footerReference w:type="default" r:id="rId900"/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3E737" w14:textId="77777777" w:rsidR="00F85B76" w:rsidRDefault="00F85B76" w:rsidP="00F85B76">
      <w:pPr>
        <w:spacing w:after="0" w:line="240" w:lineRule="auto"/>
      </w:pPr>
      <w:r>
        <w:separator/>
      </w:r>
    </w:p>
  </w:endnote>
  <w:endnote w:type="continuationSeparator" w:id="0">
    <w:p w14:paraId="147C91B0" w14:textId="77777777" w:rsidR="00F85B76" w:rsidRDefault="00F85B76" w:rsidP="00F85B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Piedepgina"/>
      <w:jc w:val="center"/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</w:pPr>
    <w:r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  <w:t>SERGIO ARGUDO SANTIAGO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BA500" w14:textId="77777777" w:rsidR="00F85B76" w:rsidRDefault="00F85B76" w:rsidP="00F85B76">
      <w:pPr>
        <w:spacing w:after="0" w:line="240" w:lineRule="auto"/>
      </w:pPr>
      <w:r>
        <w:separator/>
      </w:r>
    </w:p>
  </w:footnote>
  <w:footnote w:type="continuationSeparator" w:id="0">
    <w:p w14:paraId="5EBB74E5" w14:textId="77777777" w:rsidR="00F85B76" w:rsidRDefault="00F85B76" w:rsidP="00F85B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Encabezado"/>
      <w:jc w:val="both"/>
      <w:rPr>
        <w:rFonts w:ascii="Palatino Linotype" w:hAnsi="Palatino Linotype"/>
        <w:i/>
        <w:iCs/>
      </w:rPr>
    </w:pPr>
    <w:r>
      <w:rPr>
        <w:rFonts w:ascii="Palatino Linotype" w:hAnsi="Palatino Linotype"/>
        <w:i/>
        <w:iCs/>
      </w:rPr>
      <w:t xml:space="preserve">TEMA 25 – Convenio CITES: Objetivos. Estructura. Secretaría CITES. Conferencia de las Partes y Comités. Adopción de decisiones. Relación con otras Convenciones y Organizaciones Internacionales (Organización Mundial de Aduanas, FAO y otras). Enmiendas Bonn y Gaborone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82A5E"/>
    <w:multiLevelType w:val="multilevel"/>
    <w:tmpl w:val="17686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BA086D"/>
    <w:multiLevelType w:val="multilevel"/>
    <w:tmpl w:val="C6368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64527"/>
    <w:multiLevelType w:val="multilevel"/>
    <w:tmpl w:val="4484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B9671D"/>
    <w:multiLevelType w:val="multilevel"/>
    <w:tmpl w:val="FF7A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145E70"/>
    <w:multiLevelType w:val="multilevel"/>
    <w:tmpl w:val="4CF84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082AA3"/>
    <w:multiLevelType w:val="multilevel"/>
    <w:tmpl w:val="E600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E72879"/>
    <w:multiLevelType w:val="multilevel"/>
    <w:tmpl w:val="C3DA2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9A5A7F"/>
    <w:multiLevelType w:val="multilevel"/>
    <w:tmpl w:val="EE36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890683"/>
    <w:multiLevelType w:val="multilevel"/>
    <w:tmpl w:val="F0EAD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3F2D55"/>
    <w:multiLevelType w:val="multilevel"/>
    <w:tmpl w:val="BCE4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AC63FF"/>
    <w:multiLevelType w:val="multilevel"/>
    <w:tmpl w:val="10A62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9A721B"/>
    <w:multiLevelType w:val="multilevel"/>
    <w:tmpl w:val="9654A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9D13DD"/>
    <w:multiLevelType w:val="multilevel"/>
    <w:tmpl w:val="88A6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2984031">
    <w:abstractNumId w:val="7"/>
  </w:num>
  <w:num w:numId="2" w16cid:durableId="936329550">
    <w:abstractNumId w:val="4"/>
  </w:num>
  <w:num w:numId="3" w16cid:durableId="11223434">
    <w:abstractNumId w:val="0"/>
  </w:num>
  <w:num w:numId="4" w16cid:durableId="1698307743">
    <w:abstractNumId w:val="12"/>
  </w:num>
  <w:num w:numId="5" w16cid:durableId="1213886216">
    <w:abstractNumId w:val="11"/>
  </w:num>
  <w:num w:numId="6" w16cid:durableId="1037045334">
    <w:abstractNumId w:val="6"/>
  </w:num>
  <w:num w:numId="7" w16cid:durableId="638070075">
    <w:abstractNumId w:val="3"/>
  </w:num>
  <w:num w:numId="8" w16cid:durableId="616715768">
    <w:abstractNumId w:val="10"/>
  </w:num>
  <w:num w:numId="9" w16cid:durableId="1616985504">
    <w:abstractNumId w:val="9"/>
  </w:num>
  <w:num w:numId="10" w16cid:durableId="1055738181">
    <w:abstractNumId w:val="8"/>
  </w:num>
  <w:num w:numId="11" w16cid:durableId="928273277">
    <w:abstractNumId w:val="1"/>
  </w:num>
  <w:num w:numId="12" w16cid:durableId="919099836">
    <w:abstractNumId w:val="2"/>
  </w:num>
  <w:num w:numId="13" w16cid:durableId="5224786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B76"/>
    <w:rsid w:val="00457D88"/>
    <w:rsid w:val="005803BC"/>
    <w:rsid w:val="00600D28"/>
    <w:rsid w:val="00656837"/>
    <w:rsid w:val="006A0D39"/>
    <w:rsid w:val="007114D7"/>
    <w:rsid w:val="00975640"/>
    <w:rsid w:val="00A65383"/>
    <w:rsid w:val="00A8675C"/>
    <w:rsid w:val="00BB1DEC"/>
    <w:rsid w:val="00C12CFD"/>
    <w:rsid w:val="00D45530"/>
    <w:rsid w:val="00E15422"/>
    <w:rsid w:val="00E7657A"/>
    <w:rsid w:val="00EE6C5F"/>
    <w:rsid w:val="00F85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AF6C1"/>
  <w15:chartTrackingRefBased/>
  <w15:docId w15:val="{B64D109C-3694-4C93-A841-AE8DEB4F8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85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85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5B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5B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5B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5B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5B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5B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5B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5B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5B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5B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5B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5B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5B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5B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5B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85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5B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85B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5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85B76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F85B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5B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5B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5B7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85B76"/>
  </w:style>
  <w:style w:type="paragraph" w:styleId="Piedepgina">
    <w:name w:val="footer"/>
    <w:basedOn w:val="Normal"/>
    <w:link w:val="Piedepgina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5B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9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1112</Words>
  <Characters>6119</Characters>
  <Application>Microsoft Office Word</Application>
  <DocSecurity>0</DocSecurity>
  <Lines>50</Lines>
  <Paragraphs>14</Paragraphs>
  <ScaleCrop>false</ScaleCrop>
  <Company/>
  <LinksUpToDate>false</LinksUpToDate>
  <CharactersWithSpaces>7217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9</cp:revision>
  <dcterms:created xsi:type="dcterms:W3CDTF">2025-11-21T17:54:00Z</dcterms:created>
  <dcterms:modified xsi:type="dcterms:W3CDTF">2026-01-14T14:24:00Z</dcterms:modified>
</cp:coreProperties>
</file>