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sobreexplotación de especies por el comercio internacional llevó a redactar en </w:t>
      </w:r>
      <w:r>
        <w:rPr>
          <w:rFonts w:ascii="Cambria" w:hAnsi="Cambria"/>
          <w:b/>
          <w:bCs/>
        </w:rPr>
        <w:t xml:space="preserve">1973</w:t>
      </w:r>
      <w:r>
        <w:rPr>
          <w:rFonts w:ascii="Cambria" w:hAnsi="Cambria"/>
        </w:rPr>
        <w:t xml:space="preserve">, en Washington, la </w:t>
      </w:r>
      <w:r>
        <w:rPr>
          <w:rFonts w:ascii="Cambria" w:hAnsi="Cambria"/>
          <w:b/>
          <w:bCs/>
        </w:rPr>
        <w:t xml:space="preserve">Convención sobre el Comercio Internacional de Especies Amenazadas de Fauna y Flora Silvestres (CITES)</w:t>
      </w:r>
      <w:r>
        <w:rPr>
          <w:rFonts w:ascii="Cambria" w:hAnsi="Cambria"/>
        </w:rPr>
        <w:t xml:space="preserve">, con </w:t>
      </w:r>
      <w:r>
        <w:rPr>
          <w:rFonts w:ascii="Cambria" w:hAnsi="Cambria"/>
          <w:b/>
          <w:bCs/>
        </w:rPr>
        <w:t xml:space="preserve">25 artículos</w:t>
      </w:r>
      <w:r>
        <w:rPr>
          <w:rFonts w:ascii="Cambria" w:hAnsi="Cambria"/>
        </w:rPr>
        <w:t xml:space="preserve">, en vigor desde el </w:t>
      </w:r>
      <w:r>
        <w:rPr>
          <w:rFonts w:ascii="Cambria" w:hAnsi="Cambria"/>
          <w:b/>
          <w:bCs/>
        </w:rPr>
        <w:t xml:space="preserve">1 de julio de 1975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Cuenta actualmente con </w:t>
      </w:r>
      <w:r>
        <w:rPr>
          <w:rFonts w:ascii="Cambria" w:hAnsi="Cambria"/>
          <w:b/>
          <w:bCs/>
        </w:rPr>
        <w:t xml:space="preserve">185 Partes</w:t>
      </w:r>
      <w:r>
        <w:rPr>
          <w:rFonts w:ascii="Cambria" w:hAnsi="Cambria"/>
        </w:rPr>
        <w:t xml:space="preserve"> (184 Estados y la </w:t>
      </w:r>
      <w:r>
        <w:rPr>
          <w:rFonts w:ascii="Cambria" w:hAnsi="Cambria"/>
          <w:b/>
          <w:bCs/>
        </w:rPr>
        <w:t xml:space="preserve">Unión Europea</w:t>
      </w:r>
      <w:r>
        <w:rPr>
          <w:rFonts w:ascii="Cambria" w:hAnsi="Cambria"/>
        </w:rPr>
        <w:t xml:space="preserve">, incorporada en 2015). </w:t>
      </w:r>
      <w:r>
        <w:rPr>
          <w:rFonts w:ascii="Cambria" w:hAnsi="Cambria"/>
          <w:b/>
          <w:bCs/>
        </w:rPr>
        <w:t xml:space="preserve">España</w:t>
      </w:r>
      <w:r>
        <w:rPr>
          <w:rFonts w:ascii="Cambria" w:hAnsi="Cambria"/>
        </w:rPr>
        <w:t xml:space="preserve"> es Parte desde el </w:t>
      </w:r>
      <w:r>
        <w:rPr>
          <w:rFonts w:ascii="Cambria" w:hAnsi="Cambria"/>
          <w:b/>
          <w:bCs/>
        </w:rPr>
        <w:t xml:space="preserve">16 de mayo de 1986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 un acuerdo internacional que puede definirse como un </w:t>
      </w:r>
      <w:r>
        <w:rPr>
          <w:rFonts w:ascii="Cambria" w:hAnsi="Cambria"/>
          <w:b/>
          <w:bCs/>
        </w:rPr>
        <w:t xml:space="preserve">instrumento de política comercial</w:t>
      </w:r>
      <w:r>
        <w:rPr>
          <w:rFonts w:ascii="Cambria" w:hAnsi="Cambria"/>
        </w:rPr>
        <w:t xml:space="preserve"> cuyo principio inspirador es la conservación y utilización sostenible de las especies, buscando el equilibrio entre desarrollo y conservación.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EL CONVENIO CITES COMO INSTRUMENTO DE POLÍTICA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CITES es uno de los más de </w:t>
      </w:r>
      <w:r>
        <w:rPr>
          <w:rFonts w:ascii="Cambria" w:hAnsi="Cambria"/>
          <w:b/>
          <w:bCs/>
        </w:rPr>
        <w:t xml:space="preserve">250 Acuerdos Multilaterales sobre Medio Ambiente (AMUMA)</w:t>
      </w:r>
      <w:r>
        <w:rPr>
          <w:rFonts w:ascii="Cambria" w:hAnsi="Cambria"/>
        </w:rPr>
        <w:t xml:space="preserve"> vigentes (de ellos, una veintena afecta al comercio), y de los más antiguos.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Además de acuerdo medioambiental, es un </w:t>
      </w:r>
      <w:r>
        <w:rPr>
          <w:rFonts w:ascii="Cambria" w:hAnsi="Cambria"/>
          <w:b/>
          <w:bCs/>
        </w:rPr>
        <w:t xml:space="preserve">instrumento de política comercial</w:t>
      </w:r>
      <w:r>
        <w:rPr>
          <w:rFonts w:ascii="Cambria" w:hAnsi="Cambria"/>
        </w:rPr>
        <w:t xml:space="preserve">: regula importación, exportación y reexportación de especies amenazadas mediante un </w:t>
      </w:r>
      <w:r>
        <w:rPr>
          <w:rFonts w:ascii="Cambria" w:hAnsi="Cambria"/>
          <w:b/>
          <w:bCs/>
        </w:rPr>
        <w:t xml:space="preserve">sistema de permisos y certificados</w:t>
      </w:r>
      <w:r>
        <w:rPr>
          <w:rFonts w:ascii="Cambria" w:hAnsi="Cambria"/>
        </w:rPr>
        <w:t xml:space="preserve"> que documenta origen, destino y motivo del comercio.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Objetivos principales: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Prohibición</w:t>
      </w:r>
      <w:r>
        <w:rPr>
          <w:rFonts w:ascii="Cambria" w:hAnsi="Cambria"/>
        </w:rPr>
        <w:t xml:space="preserve"> del comercio internacional de especies en peligro de extinción.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Regulación y control</w:t>
      </w:r>
      <w:r>
        <w:rPr>
          <w:rFonts w:ascii="Cambria" w:hAnsi="Cambria"/>
        </w:rPr>
        <w:t xml:space="preserve"> del comercio de otras especies amenazadas.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Órganos comunes: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Conferencia de las Partes</w:t>
      </w:r>
      <w:r>
        <w:rPr>
          <w:rFonts w:ascii="Cambria" w:hAnsi="Cambria"/>
        </w:rPr>
        <w:t xml:space="preserve">: órgano superior, reúne a los Estados cada dos o tres años (o en sesión extraordinaria a petición de un tercio de las Partes).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Secretaría CITES</w:t>
      </w:r>
      <w:r>
        <w:rPr>
          <w:rFonts w:ascii="Cambria" w:hAnsi="Cambria"/>
        </w:rPr>
        <w:t xml:space="preserve">: administrada por el </w:t>
      </w:r>
      <w:r>
        <w:rPr>
          <w:rFonts w:ascii="Cambria" w:hAnsi="Cambria"/>
          <w:b/>
          <w:bCs/>
        </w:rPr>
        <w:t xml:space="preserve">PNUMA</w:t>
      </w:r>
      <w:r>
        <w:rPr>
          <w:rFonts w:ascii="Cambria" w:hAnsi="Cambria"/>
        </w:rPr>
        <w:t xml:space="preserve">, sede en Ginebra, actúa como agente de enlace y se financia con aportaciones de las Partes.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RELACIÓN CITES-OMC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sistema CITES combina </w:t>
      </w:r>
      <w:r>
        <w:rPr>
          <w:rFonts w:ascii="Cambria" w:hAnsi="Cambria"/>
          <w:b/>
          <w:bCs/>
        </w:rPr>
        <w:t xml:space="preserve">conservación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desarrollo económico</w:t>
      </w:r>
      <w:r>
        <w:rPr>
          <w:rFonts w:ascii="Cambria" w:hAnsi="Cambria"/>
        </w:rPr>
        <w:t xml:space="preserve"> mediante permisos de exportación/importación y certificados de excepción.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OMC</w:t>
      </w:r>
      <w:r>
        <w:rPr>
          <w:rFonts w:ascii="Cambria" w:hAnsi="Cambria"/>
        </w:rPr>
        <w:t xml:space="preserve"> es la única organización que regula el comercio entre países, mediante los </w:t>
      </w:r>
      <w:r>
        <w:rPr>
          <w:rFonts w:ascii="Cambria" w:hAnsi="Cambria"/>
          <w:b/>
          <w:bCs/>
        </w:rPr>
        <w:t xml:space="preserve">Acuerdos de la OMC</w:t>
      </w:r>
      <w:r>
        <w:rPr>
          <w:rFonts w:ascii="Cambria" w:hAnsi="Cambria"/>
        </w:rPr>
        <w:t xml:space="preserve"> surgidos de la </w:t>
      </w:r>
      <w:r>
        <w:rPr>
          <w:rFonts w:ascii="Cambria" w:hAnsi="Cambria"/>
          <w:b/>
          <w:bCs/>
        </w:rPr>
        <w:t xml:space="preserve">Ronda Uruguay (1986-1994)</w:t>
      </w:r>
      <w:r>
        <w:rPr>
          <w:rFonts w:ascii="Cambria" w:hAnsi="Cambria"/>
        </w:rPr>
        <w:t xml:space="preserve"> y del </w:t>
      </w:r>
      <w:r>
        <w:rPr>
          <w:rFonts w:ascii="Cambria" w:hAnsi="Cambria"/>
          <w:b/>
          <w:bCs/>
        </w:rPr>
        <w:t xml:space="preserve">GATT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OMC cuenta con </w:t>
      </w:r>
      <w:r>
        <w:rPr>
          <w:rFonts w:ascii="Cambria" w:hAnsi="Cambria"/>
          <w:b/>
          <w:bCs/>
        </w:rPr>
        <w:t xml:space="preserve">166 Miembros</w:t>
      </w:r>
      <w:r>
        <w:rPr>
          <w:rFonts w:ascii="Cambria" w:hAnsi="Cambria"/>
        </w:rPr>
        <w:t xml:space="preserve">. </w:t>
      </w:r>
      <w:r>
        <w:rPr>
          <w:rFonts w:ascii="Cambria" w:hAnsi="Cambria"/>
          <w:b/>
          <w:bCs/>
        </w:rPr>
        <w:t xml:space="preserve">España</w:t>
      </w:r>
      <w:r>
        <w:rPr>
          <w:rFonts w:ascii="Cambria" w:hAnsi="Cambria"/>
        </w:rPr>
        <w:t xml:space="preserve"> es Miembro desde el </w:t>
      </w:r>
      <w:r>
        <w:rPr>
          <w:rFonts w:ascii="Cambria" w:hAnsi="Cambria"/>
          <w:b/>
          <w:bCs/>
        </w:rPr>
        <w:t xml:space="preserve">1 de enero de 1995</w:t>
      </w:r>
      <w:r>
        <w:rPr>
          <w:rFonts w:ascii="Cambria" w:hAnsi="Cambria"/>
        </w:rPr>
        <w:t xml:space="preserve"> (y del GATT desde 1963).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 existe un acuerdo específico sobre medio ambiente en la OMC, pero los Miembros pueden adoptar medidas comerciales de protección ambiental si cumplen ciertas condiciones antiproteccionistas.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Comité de Comercio y Medio Ambiente (CCMA)</w:t>
      </w:r>
      <w:r>
        <w:rPr>
          <w:rFonts w:ascii="Cambria" w:hAnsi="Cambria"/>
        </w:rPr>
        <w:t xml:space="preserve">, creado en </w:t>
      </w:r>
      <w:r>
        <w:rPr>
          <w:rFonts w:ascii="Cambria" w:hAnsi="Cambria"/>
          <w:b/>
          <w:bCs/>
        </w:rPr>
        <w:t xml:space="preserve">1994</w:t>
      </w:r>
      <w:r>
        <w:rPr>
          <w:rFonts w:ascii="Cambria" w:hAnsi="Cambria"/>
        </w:rPr>
        <w:t xml:space="preserve">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CITES es </w:t>
      </w:r>
      <w:r>
        <w:rPr>
          <w:rFonts w:ascii="Cambria" w:hAnsi="Cambria"/>
          <w:b/>
          <w:bCs/>
        </w:rPr>
        <w:t xml:space="preserve">observador permanente desde 1997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OMC solo estudia los problemas cuando las políticas ambientales afectan al comercio. Las soluciones deben ajustarse a los principios de la OMC.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contradicciones entre AMUMA y OMC se resuelven por negociación, no por vía legal automática.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Principios del sistema comercial de la OMC: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Comercio sin discriminaciones</w:t>
      </w:r>
      <w:r>
        <w:rPr>
          <w:rFonts w:ascii="Cambria" w:hAnsi="Cambria"/>
        </w:rPr>
        <w:t xml:space="preserve">: Cláusula de la </w:t>
      </w:r>
      <w:r>
        <w:rPr>
          <w:rFonts w:ascii="Cambria" w:hAnsi="Cambria"/>
          <w:b/>
          <w:bCs/>
        </w:rPr>
        <w:t xml:space="preserve">Nación Más Favorecida</w:t>
      </w:r>
      <w:r>
        <w:rPr>
          <w:rFonts w:ascii="Cambria" w:hAnsi="Cambria"/>
        </w:rPr>
        <w:t xml:space="preserve"> (art. 1 GATT) y Cláusula de </w:t>
      </w:r>
      <w:r>
        <w:rPr>
          <w:rFonts w:ascii="Cambria" w:hAnsi="Cambria"/>
          <w:b/>
          <w:bCs/>
        </w:rPr>
        <w:t xml:space="preserve">Trato Nacional</w:t>
      </w:r>
      <w:r>
        <w:rPr>
          <w:rFonts w:ascii="Cambria" w:hAnsi="Cambria"/>
        </w:rPr>
        <w:t xml:space="preserve"> (art. 3 GATT).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Comercio más libre y gradual</w:t>
      </w:r>
      <w:r>
        <w:rPr>
          <w:rFonts w:ascii="Cambria" w:hAnsi="Cambria"/>
        </w:rPr>
        <w:t xml:space="preserve">, mediante reducción progresiva de aranceles y contingentes.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Previsibilidad</w:t>
      </w:r>
      <w:r>
        <w:rPr>
          <w:rFonts w:ascii="Cambria" w:hAnsi="Cambria"/>
        </w:rPr>
        <w:t xml:space="preserve">: consolidación de compromisos arancelarios y transparencia normativa.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LAS MEDIDAS DE REGULACIÓN COMERCIAL ESPECÍFICAS DEL CONVENIO CITES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CITES es vinculante para las Partes pero no suplanta las legislaciones nacionales. Toda importación, exportación, reexportación o introducción procedente del mar requiere licencia.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Reglamentación por Apéndices</w:t>
      </w:r>
      <w:r>
        <w:rPr>
          <w:rFonts w:ascii="Cambria" w:hAnsi="Cambria"/>
        </w:rPr>
        <w:t xml:space="preserve"> (art. II. Regulación en arts. III, IV y V), sobre más de </w:t>
      </w:r>
      <w:r>
        <w:rPr>
          <w:rFonts w:ascii="Cambria" w:hAnsi="Cambria"/>
          <w:b/>
          <w:bCs/>
        </w:rPr>
        <w:t xml:space="preserve">40.900 especies</w:t>
      </w:r>
      <w:r>
        <w:rPr>
          <w:rFonts w:ascii="Cambria" w:hAnsi="Cambria"/>
        </w:rPr>
        <w:t xml:space="preserve"> (cifra creciente tras la </w:t>
      </w:r>
      <w:r>
        <w:rPr>
          <w:rFonts w:ascii="Cambria" w:hAnsi="Cambria"/>
          <w:b/>
          <w:bCs/>
        </w:rPr>
        <w:t xml:space="preserve">CoP19</w:t>
      </w:r>
      <w:r>
        <w:rPr>
          <w:rFonts w:ascii="Cambria" w:hAnsi="Cambria"/>
        </w:rPr>
        <w:t xml:space="preserve">, Panamá 2022, y </w:t>
      </w:r>
      <w:r>
        <w:rPr>
          <w:rFonts w:ascii="Cambria" w:hAnsi="Cambria"/>
          <w:b/>
          <w:bCs/>
        </w:rPr>
        <w:t xml:space="preserve">CoP20</w:t>
      </w:r>
      <w:r>
        <w:rPr>
          <w:rFonts w:ascii="Cambria" w:hAnsi="Cambria"/>
        </w:rPr>
        <w:t xml:space="preserve">, Samarkanda 2025):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Apéndice I</w:t>
      </w:r>
      <w:r>
        <w:rPr>
          <w:rFonts w:ascii="Cambria" w:hAnsi="Cambria"/>
        </w:rPr>
        <w:t xml:space="preserve"> (~2%): especies en peligro de extinción. Comercio prohibido salvo excepciones (investigación, cría en cautividad). Requiere permiso de exportación </w:t>
      </w:r>
      <w:r>
        <w:rPr>
          <w:rFonts w:ascii="Cambria" w:hAnsi="Cambria"/>
          <w:b/>
          <w:bCs/>
        </w:rPr>
        <w:t xml:space="preserve">e</w:t>
      </w:r>
      <w:r>
        <w:rPr>
          <w:rFonts w:ascii="Cambria" w:hAnsi="Cambria"/>
        </w:rPr>
        <w:t xml:space="preserve"> importación.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Apéndice II</w:t>
      </w:r>
      <w:r>
        <w:rPr>
          <w:rFonts w:ascii="Cambria" w:hAnsi="Cambria"/>
        </w:rPr>
        <w:t xml:space="preserve"> (~97%): especies que podrían llegar a estar amenazadas, incluidas las "similares". Requiere solo permiso de exportación o certificado de reexportación.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Apéndice III</w:t>
      </w:r>
      <w:r>
        <w:rPr>
          <w:rFonts w:ascii="Cambria" w:hAnsi="Cambria"/>
        </w:rPr>
        <w:t xml:space="preserve"> (menos del 1%): especies reguladas unilateralmente por un país. Requiere permiso de exportación (país que la incluyó) o certificado de origen (otro Estado Parte).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Efecto sobre la legislación nacional (art. XIV)</w:t>
      </w:r>
      <w:r>
        <w:rPr>
          <w:rFonts w:ascii="Cambria" w:hAnsi="Cambria"/>
        </w:rPr>
        <w:t xml:space="preserve">: las Partes pueden adoptar medidas internas más estrictas, restringir especies no incluidas en los Apéndices y mantener otras obligaciones internacionales (aduaneras, sanitarias, veterinarias, fitosanitarias).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Enmiendas y reservas</w:t>
      </w:r>
      <w:r>
        <w:rPr>
          <w:rFonts w:ascii="Cambria" w:hAnsi="Cambria"/>
        </w:rPr>
        <w:t xml:space="preserve"> (arts. XV, XVI, XVII y XXIII): enmiendas a Apéndices I y II según criterios de la </w:t>
      </w:r>
      <w:r>
        <w:rPr>
          <w:rFonts w:ascii="Cambria" w:hAnsi="Cambria"/>
          <w:b/>
          <w:bCs/>
        </w:rPr>
        <w:t xml:space="preserve">Resolución Conf. 9.24</w:t>
      </w:r>
      <w:r>
        <w:rPr>
          <w:rFonts w:ascii="Cambria" w:hAnsi="Cambria"/>
        </w:rPr>
        <w:t xml:space="preserve">. El Apéndice III admite enmiendas unilaterales. Las Partes pueden formular </w:t>
      </w:r>
      <w:r>
        <w:rPr>
          <w:rFonts w:ascii="Cambria" w:hAnsi="Cambria"/>
          <w:b/>
          <w:bCs/>
        </w:rPr>
        <w:t xml:space="preserve">reservas</w:t>
      </w:r>
      <w:r>
        <w:rPr>
          <w:rFonts w:ascii="Cambria" w:hAnsi="Cambria"/>
        </w:rPr>
        <w:t xml:space="preserve"> unilaterales sobre una especie, retirables en cualquier momento.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Exenciones (art. VII)</w:t>
      </w:r>
      <w:r>
        <w:rPr>
          <w:rFonts w:ascii="Cambria" w:hAnsi="Cambria"/>
        </w:rPr>
        <w:t xml:space="preserve">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Especímenes en tránsito o transbordo bajo control aduanero.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Animales/plantas criados en cautividad o reproducidos artificialmente (Certificado de Cría en Cautividad).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Especímenes </w:t>
      </w:r>
      <w:r>
        <w:rPr>
          <w:rFonts w:ascii="Cambria" w:hAnsi="Cambria"/>
          <w:b/>
          <w:bCs/>
        </w:rPr>
        <w:t xml:space="preserve">Pre-Convención</w:t>
      </w:r>
      <w:r>
        <w:rPr>
          <w:rFonts w:ascii="Cambria" w:hAnsi="Cambria"/>
        </w:rPr>
        <w:t xml:space="preserve"> (para España, anteriores a </w:t>
      </w:r>
      <w:r>
        <w:rPr>
          <w:rFonts w:ascii="Cambria" w:hAnsi="Cambria"/>
          <w:b/>
          <w:bCs/>
        </w:rPr>
        <w:t xml:space="preserve">1986</w:t>
      </w:r>
      <w:r>
        <w:rPr>
          <w:rFonts w:ascii="Cambria" w:hAnsi="Cambria"/>
        </w:rPr>
        <w:t xml:space="preserve">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Artículos personales o del hogar dentro de límites cuantitativos (p. ej. hasta </w:t>
      </w:r>
      <w:r>
        <w:rPr>
          <w:rFonts w:ascii="Cambria" w:hAnsi="Cambria"/>
          <w:b/>
          <w:bCs/>
        </w:rPr>
        <w:t xml:space="preserve">125 gramos</w:t>
      </w:r>
      <w:r>
        <w:rPr>
          <w:rFonts w:ascii="Cambria" w:hAnsi="Cambria"/>
        </w:rPr>
        <w:t xml:space="preserve"> de caviar de esturión por persona, tres palos de lluvia, cuatro cocodrilos, tres caracolas reina, cuatro caballitos de mar o tres conchas de almeja gigante sin superar tres kilos).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Investigación científica entre instituciones registradas.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Colecciones o exhibiciones itinerantes (circos).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Suspensión del comercio con Estados Parte</w:t>
      </w:r>
      <w:r>
        <w:rPr>
          <w:rFonts w:ascii="Cambria" w:hAnsi="Cambria"/>
        </w:rPr>
        <w:t xml:space="preserve">: recomendación temporal cuando falta legislación nacional, no se informa a la Secretaría, hay dictamen desfavorable en el examen de comercio significativo o no se presenta el informe anual reiteradamente.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Comercio con Estados no Parte (art. X)</w:t>
      </w:r>
      <w:r>
        <w:rPr>
          <w:rFonts w:ascii="Cambria" w:hAnsi="Cambria"/>
        </w:rPr>
        <w:t xml:space="preserve">: se pueden aceptar documentos comparables emitidos por autoridades equivalentes a la Autoridad Administrativa CITES.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Sistema de cupos</w:t>
      </w:r>
      <w:r>
        <w:rPr>
          <w:rFonts w:ascii="Cambria" w:hAnsi="Cambria"/>
        </w:rPr>
        <w:t xml:space="preserve"> (no previsto expresamente en el texto, pero usado como instrumento):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Cupos nacionales</w:t>
      </w:r>
      <w:r>
        <w:rPr>
          <w:rFonts w:ascii="Cambria" w:hAnsi="Cambria"/>
        </w:rPr>
        <w:t xml:space="preserve">, fijados unilateralmente, previo dictamen de la Autoridad Científica.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Cupos de la Conferencia de las Partes</w:t>
      </w:r>
      <w:r>
        <w:rPr>
          <w:rFonts w:ascii="Cambria" w:hAnsi="Cambria"/>
        </w:rPr>
        <w:t xml:space="preserve">, en Apéndices (elefante africano, tortuga con púas) o Resoluciones (leopardo, markhor, rinoceronte negro).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Cupos compartidos</w:t>
      </w:r>
      <w:r>
        <w:rPr>
          <w:rFonts w:ascii="Cambria" w:hAnsi="Cambria"/>
        </w:rPr>
        <w:t xml:space="preserve"> entre varios países (esturiones y peces espátula, orden Acipenseriformes).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Examen del comercio significativo</w:t>
      </w:r>
      <w:r>
        <w:rPr>
          <w:rFonts w:ascii="Cambria" w:hAnsi="Cambria"/>
        </w:rPr>
        <w:t xml:space="preserve">: mecanismo para identificar especies con comercio insostenible y proponer soluciones.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CONTRADICCIONES ENTRE LAS REGLAS CITES Y LOS PRINCIPIOS DE LA OMC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Posibles tensiones de las medidas CITES con: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Nación Más Favorecida</w:t>
      </w:r>
      <w:r>
        <w:rPr>
          <w:rFonts w:ascii="Cambria" w:hAnsi="Cambria"/>
        </w:rPr>
        <w:t xml:space="preserve"> (art. 1 GATT): la suspensión del comercio con un país concreto puede vulnerar la no discriminación.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Trato Nacional</w:t>
      </w:r>
      <w:r>
        <w:rPr>
          <w:rFonts w:ascii="Cambria" w:hAnsi="Cambria"/>
        </w:rPr>
        <w:t xml:space="preserve"> (art. 3 GATT): restricciones distintas según se sea Parte o no de CITES.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eliminación de restricciones cuantitativas</w:t>
      </w:r>
      <w:r>
        <w:rPr>
          <w:rFonts w:ascii="Cambria" w:hAnsi="Cambria"/>
        </w:rPr>
        <w:t xml:space="preserve"> (art. 11 GATT).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exigencia de aplicar igual las restricciones a productos similares (art. 13 GATT): ejemplo del marfil, exportable solo por cuatro Partes CITES.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Episodio histórico: </w:t>
      </w:r>
      <w:r>
        <w:rPr>
          <w:rFonts w:ascii="Cambria" w:hAnsi="Cambria"/>
          <w:b/>
          <w:bCs/>
        </w:rPr>
        <w:t xml:space="preserve">CoP10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Harare, 1997</w:t>
      </w:r>
      <w:r>
        <w:rPr>
          <w:rFonts w:ascii="Cambria" w:hAnsi="Cambria"/>
        </w:rPr>
        <w:t xml:space="preserve">), Zimbabue alegó que la prohibición sobre *Loxodonta africana* vulneraba el art. 11 GATT. La CoP trasladó las poblaciones de Zimbabue, Namibia y Botsuana al </w:t>
      </w:r>
      <w:r>
        <w:rPr>
          <w:rFonts w:ascii="Cambria" w:hAnsi="Cambria"/>
          <w:b/>
          <w:bCs/>
        </w:rPr>
        <w:t xml:space="preserve">Apéndice II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artículo 20 del GATT</w:t>
      </w:r>
      <w:r>
        <w:rPr>
          <w:rFonts w:ascii="Cambria" w:hAnsi="Cambria"/>
        </w:rPr>
        <w:t xml:space="preserve"> permite excepciones para proteger salud, vida animal o vegetal, o conservar recursos naturales agotables, si no existe alternativa menos restrictiva.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CoP9</w:t>
      </w:r>
      <w:r>
        <w:rPr>
          <w:rFonts w:ascii="Cambria" w:hAnsi="Cambria"/>
        </w:rPr>
        <w:t xml:space="preserve"> (Fort Lauderdale, 1994): adopción del </w:t>
      </w:r>
      <w:r>
        <w:rPr>
          <w:rFonts w:ascii="Cambria" w:hAnsi="Cambria"/>
          <w:b/>
          <w:bCs/>
        </w:rPr>
        <w:t xml:space="preserve">principio de precaución</w:t>
      </w:r>
      <w:r>
        <w:rPr>
          <w:rFonts w:ascii="Cambria" w:hAnsi="Cambria"/>
        </w:rPr>
        <w:t xml:space="preserve"> de la Declaración de Río.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MECANISMOS DE RESOLUCIÓN DE CONFLICTOS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Tres planos de conflicto: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Dentro de la OMC</w:t>
      </w:r>
      <w:r>
        <w:rPr>
          <w:rFonts w:ascii="Cambria" w:hAnsi="Cambria"/>
        </w:rPr>
        <w:t xml:space="preserve">: si hay conflicto entre el GATT de 1994 y otro acuerdo del Anexo 1A, prevalece este último.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Entre OMC y otros acuerdos</w:t>
      </w:r>
      <w:r>
        <w:rPr>
          <w:rFonts w:ascii="Cambria" w:hAnsi="Cambria"/>
        </w:rPr>
        <w:t xml:space="preserve">: criterios de </w:t>
      </w:r>
      <w:r>
        <w:rPr>
          <w:rFonts w:ascii="Cambria" w:hAnsi="Cambria"/>
          <w:b/>
          <w:bCs/>
        </w:rPr>
        <w:t xml:space="preserve">lex specialis</w:t>
      </w:r>
      <w:r>
        <w:rPr>
          <w:rFonts w:ascii="Cambria" w:hAnsi="Cambria"/>
        </w:rPr>
        <w:t xml:space="preserve"> (prevalece el acuerdo más específico, los AMUMA) y </w:t>
      </w:r>
      <w:r>
        <w:rPr>
          <w:rFonts w:ascii="Cambria" w:hAnsi="Cambria"/>
          <w:b/>
          <w:bCs/>
        </w:rPr>
        <w:t xml:space="preserve">lex posterior</w:t>
      </w:r>
      <w:r>
        <w:rPr>
          <w:rFonts w:ascii="Cambria" w:hAnsi="Cambria"/>
        </w:rPr>
        <w:t xml:space="preserve"> (prevalece el más reciente). El CCMA recomienda usar el mecanismo de solución de diferencias del propio AMUMA.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Entre Partes de la CITES</w:t>
      </w:r>
      <w:r>
        <w:rPr>
          <w:rFonts w:ascii="Cambria" w:hAnsi="Cambria"/>
        </w:rPr>
        <w:t xml:space="preserve"> (art. XVIII, Arreglo de Controversias): negociación previa entre las Partes. Si fracasa, arbitraje por consentimiento mutuo, especialmente ante la </w:t>
      </w:r>
      <w:r>
        <w:rPr>
          <w:rFonts w:ascii="Cambria" w:hAnsi="Cambria"/>
          <w:b/>
          <w:bCs/>
        </w:rPr>
        <w:t xml:space="preserve">Corte Permanente de Arbitraje de La Haya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7.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CITES ejemplifica la interacción entre política comercial y ambiental: su sistema de Apéndices, permisos, cupos y suspensiones persigue la conservación sin renunciar al desarrollo económico.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Mecanismos como el CCMA, la condición de observador permanente de CITES desde </w:t>
      </w:r>
      <w:r>
        <w:rPr>
          <w:rFonts w:ascii="Cambria" w:hAnsi="Cambria"/>
          <w:b/>
          <w:bCs/>
        </w:rPr>
        <w:t xml:space="preserve">1997</w:t>
      </w:r>
      <w:r>
        <w:rPr>
          <w:rFonts w:ascii="Cambria" w:hAnsi="Cambria"/>
        </w:rPr>
        <w:t xml:space="preserve">, las excepciones del </w:t>
      </w:r>
      <w:r>
        <w:rPr>
          <w:rFonts w:ascii="Cambria" w:hAnsi="Cambria"/>
          <w:b/>
          <w:bCs/>
        </w:rPr>
        <w:t xml:space="preserve">artículo 20 del GATT</w:t>
      </w:r>
      <w:r>
        <w:rPr>
          <w:rFonts w:ascii="Cambria" w:hAnsi="Cambria"/>
        </w:rPr>
        <w:t xml:space="preserve"> y el arreglo de controversias del </w:t>
      </w:r>
      <w:r>
        <w:rPr>
          <w:rFonts w:ascii="Cambria" w:hAnsi="Cambria"/>
          <w:b/>
          <w:bCs/>
        </w:rPr>
        <w:t xml:space="preserve">artículo XVIII</w:t>
      </w:r>
      <w:r>
        <w:rPr>
          <w:rFonts w:ascii="Cambria" w:hAnsi="Cambria"/>
        </w:rPr>
        <w:t xml:space="preserve"> permiten encauzar las tensiones por vía negociadora.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26 – El Convenio CITES como instrumento de política comercial. Medidas de regulación comercial específicas del Convenio. Su relación con la OMC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