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CITES</w:t>
      </w:r>
      <w:r>
        <w:rPr>
          <w:rFonts w:ascii="Cambria" w:hAnsi="Cambria"/>
        </w:rPr>
        <w:t xml:space="preserve"> (Convención sobre el Comercio Internacional de Especies Amenazadas de Fauna y Flora Silvestres) se firmó en Washington el </w:t>
      </w:r>
      <w:r>
        <w:rPr>
          <w:rFonts w:ascii="Cambria" w:hAnsi="Cambria"/>
          <w:b/>
          <w:bCs/>
        </w:rPr>
        <w:t xml:space="preserve">3 de marzo de 1973</w:t>
      </w:r>
      <w:r>
        <w:rPr>
          <w:rFonts w:ascii="Cambria" w:hAnsi="Cambria"/>
        </w:rPr>
        <w:t xml:space="preserve"> y entró en vigor el </w:t>
      </w:r>
      <w:r>
        <w:rPr>
          <w:rFonts w:ascii="Cambria" w:hAnsi="Cambria"/>
          <w:b/>
          <w:bCs/>
        </w:rPr>
        <w:t xml:space="preserve">1 de julio de 1975</w:t>
      </w:r>
      <w:r>
        <w:rPr>
          <w:rFonts w:ascii="Cambria" w:hAnsi="Cambria"/>
        </w:rPr>
        <w:t xml:space="preserve">, con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 (184 Estados y la </w:t>
      </w:r>
      <w:r>
        <w:rPr>
          <w:rFonts w:ascii="Cambria" w:hAnsi="Cambria"/>
          <w:b/>
          <w:bCs/>
        </w:rPr>
        <w:t xml:space="preserve">Unión Europea</w:t>
      </w:r>
      <w:r>
        <w:rPr>
          <w:rFonts w:ascii="Cambria" w:hAnsi="Cambria"/>
        </w:rPr>
        <w:t xml:space="preserve">, incorporada en julio de 2015). </w:t>
      </w:r>
      <w:r>
        <w:rPr>
          <w:rFonts w:ascii="Cambria" w:hAnsi="Cambria"/>
          <w:b/>
          <w:bCs/>
        </w:rPr>
        <w:t xml:space="preserve">España</w:t>
      </w:r>
      <w:r>
        <w:rPr>
          <w:rFonts w:ascii="Cambria" w:hAnsi="Cambria"/>
        </w:rPr>
        <w:t xml:space="preserve"> es Parte desde el </w:t>
      </w:r>
      <w:r>
        <w:rPr>
          <w:rFonts w:ascii="Cambria" w:hAnsi="Cambria"/>
          <w:b/>
          <w:bCs/>
        </w:rPr>
        <w:t xml:space="preserve">16 de mayo de 1986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un acuerdo jurídicamente vinculante pero que no suplanta las legislaciones nacionales: cada Parte debe desarrollarlo mediante su propia normativa interna.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 no existir fronteras internas en el </w:t>
      </w:r>
      <w:r>
        <w:rPr>
          <w:rFonts w:ascii="Cambria" w:hAnsi="Cambria"/>
          <w:b/>
          <w:bCs/>
        </w:rPr>
        <w:t xml:space="preserve">Mercado Único</w:t>
      </w:r>
      <w:r>
        <w:rPr>
          <w:rFonts w:ascii="Cambria" w:hAnsi="Cambria"/>
        </w:rPr>
        <w:t xml:space="preserve">, la UE aplica la CITES mediante </w:t>
      </w:r>
      <w:r>
        <w:rPr>
          <w:rFonts w:ascii="Cambria" w:hAnsi="Cambria"/>
          <w:b/>
          <w:bCs/>
        </w:rPr>
        <w:t xml:space="preserve">reglamentos de aplicación directa</w:t>
      </w:r>
      <w:r>
        <w:rPr>
          <w:rFonts w:ascii="Cambria" w:hAnsi="Cambria"/>
        </w:rPr>
        <w:t xml:space="preserve"> desde 1984, garantizando uniformidad entre Estados miembros.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APLICACIÓN EN LA UNIÓN EUROPEA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Marco normativo básico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 del Consejo: legislación marco relativa a la protección de especies mediante el control de su comercio. Última actualización sustancial de anexos: </w:t>
      </w:r>
      <w:r>
        <w:rPr>
          <w:rFonts w:ascii="Cambria" w:hAnsi="Cambria"/>
          <w:b/>
          <w:bCs/>
        </w:rPr>
        <w:t xml:space="preserve">Reglamento (UE) 2023/966</w:t>
      </w:r>
      <w:r>
        <w:rPr>
          <w:rFonts w:ascii="Cambria" w:hAnsi="Cambria"/>
        </w:rPr>
        <w:t xml:space="preserve"> (enmiendas de la CoP19).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865/2006</w:t>
      </w:r>
      <w:r>
        <w:rPr>
          <w:rFonts w:ascii="Cambria" w:hAnsi="Cambria"/>
        </w:rPr>
        <w:t xml:space="preserve"> de la Comisión: disposiciones de aplicación del anterior (modelos de permisos y certificados, marcado, cría en cautividad, plantas reproducidas artificialmente).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Reglamento de ejecución de </w:t>
      </w:r>
      <w:r>
        <w:rPr>
          <w:rFonts w:ascii="Cambria" w:hAnsi="Cambria"/>
          <w:b/>
          <w:bCs/>
        </w:rPr>
        <w:t xml:space="preserve">suspensiones de importación</w:t>
      </w:r>
      <w:r>
        <w:rPr>
          <w:rFonts w:ascii="Cambria" w:hAnsi="Cambria"/>
        </w:rPr>
        <w:t xml:space="preserve">: actualmente el </w:t>
      </w:r>
      <w:r>
        <w:rPr>
          <w:rFonts w:ascii="Cambria" w:hAnsi="Cambria"/>
          <w:b/>
          <w:bCs/>
        </w:rPr>
        <w:t xml:space="preserve">Reglamento de Ejecución (UE) 2025/6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Recomendación 2007/425/CE</w:t>
      </w:r>
      <w:r>
        <w:rPr>
          <w:rFonts w:ascii="Cambria" w:hAnsi="Cambria"/>
        </w:rPr>
        <w:t xml:space="preserve"> de la Comisión, con actuaciones para la aplicación del Reglamento (CE) 338/97.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disposiciones que lo requieran deben transponerse y complementarse con legislación nacional, especialmente el </w:t>
      </w:r>
      <w:r>
        <w:rPr>
          <w:rFonts w:ascii="Cambria" w:hAnsi="Cambria"/>
          <w:b/>
          <w:bCs/>
        </w:rPr>
        <w:t xml:space="preserve">régimen sancionador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Organismos de la UE en materia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sobre el Comercio de Fauna y Flora Silvestres</w:t>
      </w:r>
      <w:r>
        <w:rPr>
          <w:rFonts w:ascii="Cambria" w:hAnsi="Cambria"/>
        </w:rPr>
        <w:t xml:space="preserve">: Autoridades Administrativas de los Estados miembros, presidido por la Comisión. Se reúne 3-4 veces al año. Si no hay mayoría cualificada, la Comisión eleva la propuesta al Consejo.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Grupo de Revisión Científica (SRG)</w:t>
      </w:r>
      <w:r>
        <w:rPr>
          <w:rFonts w:ascii="Cambria" w:hAnsi="Cambria"/>
        </w:rPr>
        <w:t xml:space="preserve">: Autoridades Científicas de los Estados miembros. Examina si las importaciones cumplen los requisitos de conservación. 3-4 reuniones anuales.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Grupo de Observancia o Vigilancia</w:t>
      </w:r>
      <w:r>
        <w:rPr>
          <w:rFonts w:ascii="Cambria" w:hAnsi="Cambria"/>
        </w:rPr>
        <w:t xml:space="preserve">: autoridades de control (aduanas, policía, inspección de fauna y flora), presidido por la Comisión, con reuniones aproximadamente bianuales. Promueve el intercambio de información sobre comercio ilegal.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Los anexos comunitarios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 clasifica las especies en </w:t>
      </w:r>
      <w:r>
        <w:rPr>
          <w:rFonts w:ascii="Cambria" w:hAnsi="Cambria"/>
          <w:b/>
          <w:bCs/>
        </w:rPr>
        <w:t xml:space="preserve">cuatro Anexos (A, B, C y D)</w:t>
      </w:r>
      <w:r>
        <w:rPr>
          <w:rFonts w:ascii="Cambria" w:hAnsi="Cambria"/>
        </w:rPr>
        <w:t xml:space="preserve">, actualizados por última vez sustancialmente mediante el </w:t>
      </w:r>
      <w:r>
        <w:rPr>
          <w:rFonts w:ascii="Cambria" w:hAnsi="Cambria"/>
          <w:b/>
          <w:bCs/>
        </w:rPr>
        <w:t xml:space="preserve">Reglamento (UE) 2023/966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Anexo A</w:t>
      </w:r>
      <w:r>
        <w:rPr>
          <w:rFonts w:ascii="Cambria" w:hAnsi="Cambria"/>
        </w:rPr>
        <w:t xml:space="preserve">: especies del Apéndice I CITES, algunas de los Apéndices II y III con medidas más estrictas de la UE, y especies protegidas por las Directivas de Aves y Hábitats (p. ej. lince ibérico, oso pardo, águila real).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Anexo B</w:t>
      </w:r>
      <w:r>
        <w:rPr>
          <w:rFonts w:ascii="Cambria" w:hAnsi="Cambria"/>
        </w:rPr>
        <w:t xml:space="preserve">: resto del Apéndice II, algunas del III con medidas más estrictas, especies del Apéndice I con reservas, y especies no CITES (p. ej. caimán de anteojos, pitón real).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Anexo C</w:t>
      </w:r>
      <w:r>
        <w:rPr>
          <w:rFonts w:ascii="Cambria" w:hAnsi="Cambria"/>
        </w:rPr>
        <w:t xml:space="preserve">: resto del Apéndice III y especies del Apéndice II con reservas (p. ej. morsa, civeta africana).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Anexo D</w:t>
      </w:r>
      <w:r>
        <w:rPr>
          <w:rFonts w:ascii="Cambria" w:hAnsi="Cambria"/>
        </w:rPr>
        <w:t xml:space="preserve">, sin equivalente CITES: </w:t>
      </w:r>
      <w:r>
        <w:rPr>
          <w:rFonts w:ascii="Cambria" w:hAnsi="Cambria"/>
          <w:b/>
          <w:bCs/>
        </w:rPr>
        <w:t xml:space="preserve">lista de vigilancia</w:t>
      </w:r>
      <w:r>
        <w:rPr>
          <w:rFonts w:ascii="Cambria" w:hAnsi="Cambria"/>
        </w:rPr>
        <w:t xml:space="preserve"> de especies cuya importación se supervisa (p. ej. rana toro americana).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Coherencia con la </w:t>
      </w:r>
      <w:r>
        <w:rPr>
          <w:rFonts w:ascii="Cambria" w:hAnsi="Cambria"/>
          <w:b/>
          <w:bCs/>
        </w:rPr>
        <w:t xml:space="preserve">Directiva de Hábitats (92/43/CEE)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Directiva de Aves (2009/147/CE)</w:t>
      </w:r>
      <w:r>
        <w:rPr>
          <w:rFonts w:ascii="Cambria" w:hAnsi="Cambria"/>
        </w:rPr>
        <w:t xml:space="preserve">: ciertas especies autóctonas de los Apéndices II y III se incorporan al Anexo 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El comercio interno en la Unión Europea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Sin fronteras internas, no se necesitan permisos para especímenes de los </w:t>
      </w:r>
      <w:r>
        <w:rPr>
          <w:rFonts w:ascii="Cambria" w:hAnsi="Cambria"/>
          <w:b/>
          <w:bCs/>
        </w:rPr>
        <w:t xml:space="preserve">Anexos B, C o D</w:t>
      </w:r>
      <w:r>
        <w:rPr>
          <w:rFonts w:ascii="Cambria" w:hAnsi="Cambria"/>
        </w:rPr>
        <w:t xml:space="preserve"> dentro de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especímenes silvestres del </w:t>
      </w:r>
      <w:r>
        <w:rPr>
          <w:rFonts w:ascii="Cambria" w:hAnsi="Cambria"/>
          <w:b/>
          <w:bCs/>
        </w:rPr>
        <w:t xml:space="preserve">Anexo A</w:t>
      </w:r>
      <w:r>
        <w:rPr>
          <w:rFonts w:ascii="Cambria" w:hAnsi="Cambria"/>
        </w:rPr>
        <w:t xml:space="preserve"> no pueden, por regla general, destinarse a fines comerciales, salvo excepción estudiada caso por caso mediante el </w:t>
      </w:r>
      <w:r>
        <w:rPr>
          <w:rFonts w:ascii="Cambria" w:hAnsi="Cambria"/>
          <w:b/>
          <w:bCs/>
        </w:rPr>
        <w:t xml:space="preserve">Certificado de uso comunitario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Suspensiones de importaciones en la UE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Comisión puede suspender importaciones de un país cuando el SRG forma opinión negativa sobre el efecto en la conservación de la especie. Son de carácter temporal.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Cuando la situación se prolonga, se adoptan </w:t>
      </w:r>
      <w:r>
        <w:rPr>
          <w:rFonts w:ascii="Cambria" w:hAnsi="Cambria"/>
          <w:b/>
          <w:bCs/>
        </w:rPr>
        <w:t xml:space="preserve">Reglamentos de Suspensión</w:t>
      </w:r>
      <w:r>
        <w:rPr>
          <w:rFonts w:ascii="Cambria" w:hAnsi="Cambria"/>
        </w:rPr>
        <w:t xml:space="preserve">, aplicables también a especímenes vivos del Anexo B con alta mortalidad en transporte, baja supervivencia en cautividad o riesgo ecológico.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Reglamento vigente: </w:t>
      </w:r>
      <w:r>
        <w:rPr>
          <w:rFonts w:ascii="Cambria" w:hAnsi="Cambria"/>
          <w:b/>
          <w:bCs/>
        </w:rPr>
        <w:t xml:space="preserve">Reglamento de Ejecución (UE) 2025/6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DIFERENCIAS PRINCIPALES ENTRE CITES Y REGLAMENTOS COMUNITARIOS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Condiciones de importación más estrictas: </w:t>
      </w:r>
      <w:r>
        <w:rPr>
          <w:rFonts w:ascii="Cambria" w:hAnsi="Cambria"/>
          <w:b/>
          <w:bCs/>
        </w:rPr>
        <w:t xml:space="preserve">permisos</w:t>
      </w:r>
      <w:r>
        <w:rPr>
          <w:rFonts w:ascii="Cambria" w:hAnsi="Cambria"/>
        </w:rPr>
        <w:t xml:space="preserve"> para Anexos A y B, </w:t>
      </w:r>
      <w:r>
        <w:rPr>
          <w:rFonts w:ascii="Cambria" w:hAnsi="Cambria"/>
          <w:b/>
          <w:bCs/>
        </w:rPr>
        <w:t xml:space="preserve">notificaciones</w:t>
      </w:r>
      <w:r>
        <w:rPr>
          <w:rFonts w:ascii="Cambria" w:hAnsi="Cambria"/>
        </w:rPr>
        <w:t xml:space="preserve"> para C y 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Algunas especies no incluidas en el Apéndice II CITES sí están en el </w:t>
      </w:r>
      <w:r>
        <w:rPr>
          <w:rFonts w:ascii="Cambria" w:hAnsi="Cambria"/>
          <w:b/>
          <w:bCs/>
        </w:rPr>
        <w:t xml:space="preserve">Anexo A</w:t>
      </w:r>
      <w:r>
        <w:rPr>
          <w:rFonts w:ascii="Cambria" w:hAnsi="Cambria"/>
        </w:rPr>
        <w:t xml:space="preserve">, por lo que no pueden comerciarse ni usarse con fines comerciales.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especímenes vivos de los </w:t>
      </w:r>
      <w:r>
        <w:rPr>
          <w:rFonts w:ascii="Cambria" w:hAnsi="Cambria"/>
          <w:b/>
          <w:bCs/>
        </w:rPr>
        <w:t xml:space="preserve">Anexos A y B</w:t>
      </w:r>
      <w:r>
        <w:rPr>
          <w:rFonts w:ascii="Cambria" w:hAnsi="Cambria"/>
        </w:rPr>
        <w:t xml:space="preserve"> requieren instalaciones adecuadas de destino. La CITES solo lo exige para el Apéndice I.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reglamentos UE regulan también el </w:t>
      </w:r>
      <w:r>
        <w:rPr>
          <w:rFonts w:ascii="Cambria" w:hAnsi="Cambria"/>
          <w:b/>
          <w:bCs/>
        </w:rPr>
        <w:t xml:space="preserve">comercio interno</w:t>
      </w:r>
      <w:r>
        <w:rPr>
          <w:rFonts w:ascii="Cambria" w:hAnsi="Cambria"/>
        </w:rPr>
        <w:t xml:space="preserve">, mientras la CITES solo regula el comercio internacional.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 permite suspender importaciones aun cuando la CITES lo permita.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LA ENMIENDA DE GABORONE Y LA ADHESIÓN DE LA UE A LA CITES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Enmienda de Gaborone</w:t>
      </w:r>
      <w:r>
        <w:rPr>
          <w:rFonts w:ascii="Cambria" w:hAnsi="Cambria"/>
        </w:rPr>
        <w:t xml:space="preserve"> (30 de abril de 1983) permitió la adhesión de </w:t>
      </w:r>
      <w:r>
        <w:rPr>
          <w:rFonts w:ascii="Cambria" w:hAnsi="Cambria"/>
          <w:b/>
          <w:bCs/>
        </w:rPr>
        <w:t xml:space="preserve">Organizaciones Regionales de Integración Económica (ORIE)</w:t>
      </w:r>
      <w:r>
        <w:rPr>
          <w:rFonts w:ascii="Cambria" w:hAnsi="Cambria"/>
        </w:rPr>
        <w:t xml:space="preserve">. Entró en vigor el </w:t>
      </w:r>
      <w:r>
        <w:rPr>
          <w:rFonts w:ascii="Cambria" w:hAnsi="Cambria"/>
          <w:b/>
          <w:bCs/>
        </w:rPr>
        <w:t xml:space="preserve">29 de noviembre de 2013</w:t>
      </w:r>
      <w:r>
        <w:rPr>
          <w:rFonts w:ascii="Cambria" w:hAnsi="Cambria"/>
        </w:rPr>
        <w:t xml:space="preserve"> tras el depósito del instrumento de Costa Rica.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Unión Europea se adhirió</w:t>
      </w:r>
      <w:r>
        <w:rPr>
          <w:rFonts w:ascii="Cambria" w:hAnsi="Cambria"/>
        </w:rPr>
        <w:t xml:space="preserve"> a la CITES el </w:t>
      </w:r>
      <w:r>
        <w:rPr>
          <w:rFonts w:ascii="Cambria" w:hAnsi="Cambria"/>
          <w:b/>
          <w:bCs/>
        </w:rPr>
        <w:t xml:space="preserve">9 de abril de 2015</w:t>
      </w:r>
      <w:r>
        <w:rPr>
          <w:rFonts w:ascii="Cambria" w:hAnsi="Cambria"/>
        </w:rPr>
        <w:t xml:space="preserve">, entrando en vigor el </w:t>
      </w:r>
      <w:r>
        <w:rPr>
          <w:rFonts w:ascii="Cambria" w:hAnsi="Cambria"/>
          <w:b/>
          <w:bCs/>
        </w:rPr>
        <w:t xml:space="preserve">8 de julio de 2015</w:t>
      </w:r>
      <w:r>
        <w:rPr>
          <w:rFonts w:ascii="Cambria" w:hAnsi="Cambria"/>
        </w:rPr>
        <w:t xml:space="preserve"> (artículo XXII de la Convención).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adhesión crea un único punto de referencia con la Secretaría y obliga jurídicamente a todos los Estados miembros. La UE contribuye al presupuesto básico y vota con el número de votos de sus Estados miembros (no dispone de voto adicional).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Actualmente han firmado la enmienda Gaborone </w:t>
      </w:r>
      <w:r>
        <w:rPr>
          <w:rFonts w:ascii="Cambria" w:hAnsi="Cambria"/>
          <w:b/>
          <w:bCs/>
        </w:rPr>
        <w:t xml:space="preserve">103 Partes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APLICACIÓN EN ESPAÑA DE LAS DISPOSICIONES COMUNITARIAS CITES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Legislación de aplicación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986/2021</w:t>
      </w:r>
      <w:r>
        <w:rPr>
          <w:rFonts w:ascii="Cambria" w:hAnsi="Cambria"/>
        </w:rPr>
        <w:t xml:space="preserve">, sobre medidas de aplicación del Convenio CITES y del Reglamento (CE) 338/97, que rediseñó el esquema de autoridades nacionales.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Resolución de 29 de noviembre de 2016</w:t>
      </w:r>
      <w:r>
        <w:rPr>
          <w:rFonts w:ascii="Cambria" w:hAnsi="Cambria"/>
        </w:rPr>
        <w:t xml:space="preserve">, DG de Comercio Internacional e Inversiones: designa las Direcciones Territoriales y Provinciales habilitadas y regula el </w:t>
      </w:r>
      <w:r>
        <w:rPr>
          <w:rFonts w:ascii="Cambria" w:hAnsi="Cambria"/>
          <w:b/>
          <w:bCs/>
        </w:rPr>
        <w:t xml:space="preserve">Documento de Inspección de Especies Sujetas a Control (DIESAC)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Resolución de 20 de enero de 2023</w:t>
      </w:r>
      <w:r>
        <w:rPr>
          <w:rFonts w:ascii="Cambria" w:hAnsi="Cambria"/>
        </w:rPr>
        <w:t xml:space="preserve">, Subsecretaría: Acuerdo de encomienda de gestión de la AEAT al Ministerio de Comercio para las verificaciones previas al despacho aduanero, vigencia inicial de </w:t>
      </w:r>
      <w:r>
        <w:rPr>
          <w:rFonts w:ascii="Cambria" w:hAnsi="Cambria"/>
          <w:b/>
          <w:bCs/>
        </w:rPr>
        <w:t xml:space="preserve">4 años</w:t>
      </w:r>
      <w:r>
        <w:rPr>
          <w:rFonts w:ascii="Cambria" w:hAnsi="Cambria"/>
        </w:rPr>
        <w:t xml:space="preserve"> (hasta el </w:t>
      </w:r>
      <w:r>
        <w:rPr>
          <w:rFonts w:ascii="Cambria" w:hAnsi="Cambria"/>
          <w:b/>
          <w:bCs/>
        </w:rPr>
        <w:t xml:space="preserve">28 de enero de 2027</w:t>
      </w:r>
      <w:r>
        <w:rPr>
          <w:rFonts w:ascii="Cambria" w:hAnsi="Cambria"/>
        </w:rPr>
        <w:t xml:space="preserve">), prorrogable.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1333/2006</w:t>
      </w:r>
      <w:r>
        <w:rPr>
          <w:rFonts w:ascii="Cambria" w:hAnsi="Cambria"/>
        </w:rPr>
        <w:t xml:space="preserve">, sobre destino de especímenes decomisados.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32/2007</w:t>
      </w:r>
      <w:r>
        <w:rPr>
          <w:rFonts w:ascii="Cambria" w:hAnsi="Cambria"/>
        </w:rPr>
        <w:t xml:space="preserve">, cuya disposición adicional segunda establece la tasa por permisos y certificados CITES.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7/2018</w:t>
      </w:r>
      <w:r>
        <w:rPr>
          <w:rFonts w:ascii="Cambria" w:hAnsi="Cambria"/>
        </w:rPr>
        <w:t xml:space="preserve">, requisitos de documentación, tenencia y marcado.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Legislación sancionadora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Orgánica 10/1995</w:t>
      </w:r>
      <w:r>
        <w:rPr>
          <w:rFonts w:ascii="Cambria" w:hAnsi="Cambria"/>
        </w:rPr>
        <w:t xml:space="preserve">, del Código Penal.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Orgánica 12/1995</w:t>
      </w:r>
      <w:r>
        <w:rPr>
          <w:rFonts w:ascii="Cambria" w:hAnsi="Cambria"/>
        </w:rPr>
        <w:t xml:space="preserve">, de Represión del Contrabando.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1649/1998</w:t>
      </w:r>
      <w:r>
        <w:rPr>
          <w:rFonts w:ascii="Cambria" w:hAnsi="Cambria"/>
        </w:rPr>
        <w:t xml:space="preserve">, desarrollo del Título II de la LO 12/1995.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Orgánica 6/2011</w:t>
      </w:r>
      <w:r>
        <w:rPr>
          <w:rFonts w:ascii="Cambria" w:hAnsi="Cambria"/>
        </w:rPr>
        <w:t xml:space="preserve">, de modificación de la LO 12/1995, adaptándola al Código Aduanero de la Unión.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AUTORIDAD ADMINISTRATIVA Y AUTORIDAD CIENTÍFICA EN 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artículo IX de la Convención exige que cada Parte designe </w:t>
      </w:r>
      <w:r>
        <w:rPr>
          <w:rFonts w:ascii="Cambria" w:hAnsi="Cambria"/>
          <w:b/>
          <w:bCs/>
        </w:rPr>
        <w:t xml:space="preserve">Autoridades Científicas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Administrativas</w:t>
      </w:r>
      <w:r>
        <w:rPr>
          <w:rFonts w:ascii="Cambria" w:hAnsi="Cambria"/>
        </w:rPr>
        <w:t xml:space="preserve">. La Administrativa emite los permisos según la opinión de la Científica.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Hasta el </w:t>
      </w:r>
      <w:r>
        <w:rPr>
          <w:rFonts w:ascii="Cambria" w:hAnsi="Cambria"/>
          <w:b/>
          <w:bCs/>
        </w:rPr>
        <w:t xml:space="preserve">RD 1739/1997</w:t>
      </w:r>
      <w:r>
        <w:rPr>
          <w:rFonts w:ascii="Cambria" w:hAnsi="Cambria"/>
        </w:rPr>
        <w:t xml:space="preserve">: Autoridad Administrativa principal, la DG de Política Comercial del MINCOTUR (SOIVRE), Autoridad Administrativa Adicional, el Departamento de Aduanas e IIEE de la AEAT, Autoridad Científica, la DG de Calidad y Evaluación Ambiental del MITECO.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La Autoridad Administrativa y órgano de gestión principal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el </w:t>
      </w:r>
      <w:r>
        <w:rPr>
          <w:rFonts w:ascii="Cambria" w:hAnsi="Cambria"/>
          <w:b/>
          <w:bCs/>
        </w:rPr>
        <w:t xml:space="preserve">RD 986/2021</w:t>
      </w:r>
      <w:r>
        <w:rPr>
          <w:rFonts w:ascii="Cambria" w:hAnsi="Cambria"/>
        </w:rPr>
        <w:t xml:space="preserve">: la </w:t>
      </w:r>
      <w:r>
        <w:rPr>
          <w:rFonts w:ascii="Cambria" w:hAnsi="Cambria"/>
          <w:b/>
          <w:bCs/>
        </w:rPr>
        <w:t xml:space="preserve">Dirección General de Biodiversidad, Bosques y Desertificación</w:t>
      </w:r>
      <w:r>
        <w:rPr>
          <w:rFonts w:ascii="Cambria" w:hAnsi="Cambria"/>
        </w:rPr>
        <w:t xml:space="preserve"> (MITECO) es la Autoridad Administrativa principal, conforme al artículo 13.1.a) del Reglamento (CE) 338/97.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Funciones: concesión de autorizaciones de importación/exportación/reexportación, emisión de permisos y certificados, legalización de especímenes Pre-Convención, registro de colecciones comerciales, control de la cría en cautividad, informe anual de comercio exterior CITES, representación oficial de España, asistencia técnica a Aduanas y demás órganos de control.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Las verificaciones previas al despacho aduanero: el papel del Servicio de Inspección SOIVRE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disposición adicional primera del RD 986/2021 atribuye a la </w:t>
      </w:r>
      <w:r>
        <w:rPr>
          <w:rFonts w:ascii="Cambria" w:hAnsi="Cambria"/>
          <w:b/>
          <w:bCs/>
        </w:rPr>
        <w:t xml:space="preserve">AEAT</w:t>
      </w:r>
      <w:r>
        <w:rPr>
          <w:rFonts w:ascii="Cambria" w:hAnsi="Cambria"/>
        </w:rPr>
        <w:t xml:space="preserve"> la inspección y control en frontera, en colaboración con la Autoridad Administrativa y la Científica.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Mediante la </w:t>
      </w:r>
      <w:r>
        <w:rPr>
          <w:rFonts w:ascii="Cambria" w:hAnsi="Cambria"/>
          <w:b/>
          <w:bCs/>
        </w:rPr>
        <w:t xml:space="preserve">Resolución de 20 de enero de 2023</w:t>
      </w:r>
      <w:r>
        <w:rPr>
          <w:rFonts w:ascii="Cambria" w:hAnsi="Cambria"/>
        </w:rPr>
        <w:t xml:space="preserve">, la AEAT encomendó la ejecución material a la Secretaría de Estado de Comercio, a través de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, que emiten el </w:t>
      </w:r>
      <w:r>
        <w:rPr>
          <w:rFonts w:ascii="Cambria" w:hAnsi="Cambria"/>
          <w:b/>
          <w:bCs/>
        </w:rPr>
        <w:t xml:space="preserve">DIESAC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encomienda tiene vigencia inicial de </w:t>
      </w:r>
      <w:r>
        <w:rPr>
          <w:rFonts w:ascii="Cambria" w:hAnsi="Cambria"/>
          <w:b/>
          <w:bCs/>
        </w:rPr>
        <w:t xml:space="preserve">4 años</w:t>
      </w:r>
      <w:r>
        <w:rPr>
          <w:rFonts w:ascii="Cambria" w:hAnsi="Cambria"/>
        </w:rPr>
        <w:t xml:space="preserve">, con horizonte de finalización el </w:t>
      </w:r>
      <w:r>
        <w:rPr>
          <w:rFonts w:ascii="Cambria" w:hAnsi="Cambria"/>
          <w:b/>
          <w:bCs/>
        </w:rPr>
        <w:t xml:space="preserve">28 de enero de 2027</w:t>
      </w:r>
      <w:r>
        <w:rPr>
          <w:rFonts w:ascii="Cambria" w:hAnsi="Cambria"/>
        </w:rPr>
        <w:t xml:space="preserve">, prorrogable de mutuo acuerdo.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 operan </w:t>
      </w:r>
      <w:r>
        <w:rPr>
          <w:rFonts w:ascii="Cambria" w:hAnsi="Cambria"/>
          <w:b/>
          <w:bCs/>
        </w:rPr>
        <w:t xml:space="preserve">12 Servicios de Inspección SOIVRE</w:t>
      </w:r>
      <w:r>
        <w:rPr>
          <w:rFonts w:ascii="Cambria" w:hAnsi="Cambria"/>
        </w:rPr>
        <w:t xml:space="preserve"> en Puntos de Inspección Fronteriza: Vigo, Barcelona, Bilbao, Alicante, Valencia, Sevilla, Málaga, Mallorca, Tenerife, Las Palmas, Algeciras y Madrid, otras Direcciones son colaboradoras (Badajoz, Almería, Gijón, Irún), para maderas CITES, también Marín, Villagarcía de Arosa y Santander.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Funciones: exigir documentación CITES previa al despacho, diligenciar los documentos, emitir el DIESAC, comprobar documentación e inspeccionar físicamente según análisis de riesgos, incoar expedientes por presunta infracción de contrabando.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La Autoridad Científica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el </w:t>
      </w:r>
      <w:r>
        <w:rPr>
          <w:rFonts w:ascii="Cambria" w:hAnsi="Cambria"/>
          <w:b/>
          <w:bCs/>
        </w:rPr>
        <w:t xml:space="preserve">RD 986/2021</w:t>
      </w:r>
      <w:r>
        <w:rPr>
          <w:rFonts w:ascii="Cambria" w:hAnsi="Cambria"/>
        </w:rPr>
        <w:t xml:space="preserve">: la </w:t>
      </w:r>
      <w:r>
        <w:rPr>
          <w:rFonts w:ascii="Cambria" w:hAnsi="Cambria"/>
          <w:b/>
          <w:bCs/>
        </w:rPr>
        <w:t xml:space="preserve">Agencia Estatal CSIC</w:t>
      </w:r>
      <w:r>
        <w:rPr>
          <w:rFonts w:ascii="Cambria" w:hAnsi="Cambria"/>
        </w:rPr>
        <w:t xml:space="preserve">, dependiente del Ministerio de Ciencia e Innovación, sustituye a la anterior DG de Calidad y Evaluación Ambiental del MITECO.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Emite dictámenes sobre: conservación de la especie en solicitudes de importación (Anexos A o B) y (re)exportación (Anexos A, B o C), condiciones de instalaciones para animales vivos del Anexo A, destino de especímenes decomisados.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Participa en el </w:t>
      </w:r>
      <w:r>
        <w:rPr>
          <w:rFonts w:ascii="Cambria" w:hAnsi="Cambria"/>
          <w:b/>
          <w:bCs/>
        </w:rPr>
        <w:t xml:space="preserve">Grupo de Revisión Científica de la UE</w:t>
      </w:r>
      <w:r>
        <w:rPr>
          <w:rFonts w:ascii="Cambria" w:hAnsi="Cambria"/>
        </w:rPr>
        <w:t xml:space="preserve">, emitiendo dictámenes de extracción no perjudicial. No emite permisos ni certificados.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Infracciones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ilegal de especies amenazadas es infracción administrativa (legislación de conservación y de contrabando) y delito en el </w:t>
      </w:r>
      <w:r>
        <w:rPr>
          <w:rFonts w:ascii="Cambria" w:hAnsi="Cambria"/>
          <w:b/>
          <w:bCs/>
        </w:rPr>
        <w:t xml:space="preserve">Código Penal</w:t>
      </w:r>
      <w:r>
        <w:rPr>
          <w:rFonts w:ascii="Cambria" w:hAnsi="Cambria"/>
        </w:rPr>
        <w:t xml:space="preserve"> (delitos contra la flora y fauna, y de contrabando).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aplicación de la CITES en la UE descansa sobre un marco normativo exigente, que en numerosos aspectos supera las exigencias de la Convención.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España, el </w:t>
      </w:r>
      <w:r>
        <w:rPr>
          <w:rFonts w:ascii="Cambria" w:hAnsi="Cambria"/>
          <w:b/>
          <w:bCs/>
        </w:rPr>
        <w:t xml:space="preserve">RD 986/2021</w:t>
      </w:r>
      <w:r>
        <w:rPr>
          <w:rFonts w:ascii="Cambria" w:hAnsi="Cambria"/>
        </w:rPr>
        <w:t xml:space="preserve"> trasladó las funciones de Autoridad Administrativa y Científica al ámbito medioambiental y científico, mientras el </w:t>
      </w:r>
      <w:r>
        <w:rPr>
          <w:rFonts w:ascii="Cambria" w:hAnsi="Cambria"/>
          <w:b/>
          <w:bCs/>
        </w:rPr>
        <w:t xml:space="preserve">Acuerdo de encomienda de 2023</w:t>
      </w:r>
      <w:r>
        <w:rPr>
          <w:rFonts w:ascii="Cambria" w:hAnsi="Cambria"/>
        </w:rPr>
        <w:t xml:space="preserve"> mantiene operativamente al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como responsable del control físico y documental en frontera.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continuidad de esta función depende de la renovación de la encomienda, cuya vigencia finaliza el </w:t>
      </w:r>
      <w:r>
        <w:rPr>
          <w:rFonts w:ascii="Cambria" w:hAnsi="Cambria"/>
          <w:b/>
          <w:bCs/>
        </w:rPr>
        <w:t xml:space="preserve">28 de enero de 2027</w:t>
      </w:r>
      <w:r>
        <w:rPr>
          <w:rFonts w:ascii="Cambria" w:hAnsi="Cambria"/>
        </w:rPr>
        <w:t xml:space="preserve">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27 – Aplicación del Convenio CITES en la Unión Europea. Reglamentación UE. Autoridades de aplicación en España: Autoridad Administrativa y Autoridad Científica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