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Convención CITES</w:t>
      </w:r>
      <w:r>
        <w:rPr>
          <w:rFonts w:ascii="Cambria" w:hAnsi="Cambria"/>
        </w:rPr>
        <w:t xml:space="preserve"> se firmó en </w:t>
      </w:r>
      <w:r>
        <w:rPr>
          <w:rFonts w:ascii="Cambria" w:hAnsi="Cambria"/>
          <w:b/>
          <w:bCs/>
        </w:rPr>
        <w:t xml:space="preserve">Washington</w:t>
      </w:r>
      <w:r>
        <w:rPr>
          <w:rFonts w:ascii="Cambria" w:hAnsi="Cambria"/>
        </w:rPr>
        <w:t xml:space="preserve"> el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 y entró en vigor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,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 (184 Estados y la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, incorporada en julio de 2015).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España</w:t>
      </w:r>
      <w:r>
        <w:rPr>
          <w:rFonts w:ascii="Cambria" w:hAnsi="Cambria"/>
        </w:rPr>
        <w:t xml:space="preserve">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 La Convención combina un Acuerdo Multilateral sobre Medio Ambiente con un instrumento de política comercial, mediante un sistema de </w:t>
      </w:r>
      <w:r>
        <w:rPr>
          <w:rFonts w:ascii="Cambria" w:hAnsi="Cambria"/>
          <w:b/>
          <w:bCs/>
        </w:rPr>
        <w:t xml:space="preserve">permisos y certificados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desarrollan a continuación las </w:t>
      </w:r>
      <w:r>
        <w:rPr>
          <w:rFonts w:ascii="Cambria" w:hAnsi="Cambria"/>
          <w:b/>
          <w:bCs/>
        </w:rPr>
        <w:t xml:space="preserve">autoridades españolas de aplicación</w:t>
      </w:r>
      <w:r>
        <w:rPr>
          <w:rFonts w:ascii="Cambria" w:hAnsi="Cambria"/>
        </w:rPr>
        <w:t xml:space="preserve"> (Administrativa y Científica), los </w:t>
      </w:r>
      <w:r>
        <w:rPr>
          <w:rFonts w:ascii="Cambria" w:hAnsi="Cambria"/>
          <w:b/>
          <w:bCs/>
        </w:rPr>
        <w:t xml:space="preserve">controles de observancia</w:t>
      </w:r>
      <w:r>
        <w:rPr>
          <w:rFonts w:ascii="Cambria" w:hAnsi="Cambria"/>
        </w:rPr>
        <w:t xml:space="preserve"> (policiales y aduaneros), la relación con la </w:t>
      </w:r>
      <w:r>
        <w:rPr>
          <w:rFonts w:ascii="Cambria" w:hAnsi="Cambria"/>
          <w:b/>
          <w:bCs/>
        </w:rPr>
        <w:t xml:space="preserve">OMA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INTERPOL</w:t>
      </w:r>
      <w:r>
        <w:rPr>
          <w:rFonts w:ascii="Cambria" w:hAnsi="Cambria"/>
        </w:rPr>
        <w:t xml:space="preserve">, y el </w:t>
      </w:r>
      <w:r>
        <w:rPr>
          <w:rFonts w:ascii="Cambria" w:hAnsi="Cambria"/>
          <w:b/>
          <w:bCs/>
        </w:rPr>
        <w:t xml:space="preserve">régimen sancionador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AUTORIDADES DE APLICACIÓN EN ESPAÑA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Autoridad Administrativa y Autoridad Científica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Cada Estado Parte designa una </w:t>
      </w:r>
      <w:r>
        <w:rPr>
          <w:rFonts w:ascii="Cambria" w:hAnsi="Cambria"/>
          <w:b/>
          <w:bCs/>
        </w:rPr>
        <w:t xml:space="preserve">Autoridad Administrativa</w:t>
      </w:r>
      <w:r>
        <w:rPr>
          <w:rFonts w:ascii="Cambria" w:hAnsi="Cambria"/>
        </w:rPr>
        <w:t xml:space="preserve"> (emite los permisos) y una </w:t>
      </w:r>
      <w:r>
        <w:rPr>
          <w:rFonts w:ascii="Cambria" w:hAnsi="Cambria"/>
          <w:b/>
          <w:bCs/>
        </w:rPr>
        <w:t xml:space="preserve">Autoridad Científica</w:t>
      </w:r>
      <w:r>
        <w:rPr>
          <w:rFonts w:ascii="Cambria" w:hAnsi="Cambria"/>
        </w:rPr>
        <w:t xml:space="preserve"> (asesora sobre el impacto en la conservación).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986/2021</w:t>
      </w:r>
      <w:r>
        <w:rPr>
          <w:rFonts w:ascii="Cambria" w:hAnsi="Cambria"/>
        </w:rPr>
        <w:t xml:space="preserve"> designa como: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Autoridad Administrativa</w:t>
      </w:r>
      <w:r>
        <w:rPr>
          <w:rFonts w:ascii="Cambria" w:hAnsi="Cambria"/>
        </w:rPr>
        <w:t xml:space="preserve"> y órgano de gestión principal: la </w:t>
      </w: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MITECO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Autoridad Científica</w:t>
      </w:r>
      <w:r>
        <w:rPr>
          <w:rFonts w:ascii="Cambria" w:hAnsi="Cambria"/>
        </w:rPr>
        <w:t xml:space="preserve">: la </w:t>
      </w:r>
      <w:r>
        <w:rPr>
          <w:rFonts w:ascii="Cambria" w:hAnsi="Cambria"/>
          <w:b/>
          <w:bCs/>
        </w:rPr>
        <w:t xml:space="preserve">Agencia Estatal CSIC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Mediante </w:t>
      </w:r>
      <w:r>
        <w:rPr>
          <w:rFonts w:ascii="Cambria" w:hAnsi="Cambria"/>
          <w:b/>
          <w:bCs/>
        </w:rPr>
        <w:t xml:space="preserve">Acuerdo de encomienda de gestión</w:t>
      </w:r>
      <w:r>
        <w:rPr>
          <w:rFonts w:ascii="Cambria" w:hAnsi="Cambria"/>
        </w:rPr>
        <w:t xml:space="preserve"> (Resolución de 20 de enero de 2023), la </w:t>
      </w:r>
      <w:r>
        <w:rPr>
          <w:rFonts w:ascii="Cambria" w:hAnsi="Cambria"/>
          <w:b/>
          <w:bCs/>
        </w:rPr>
        <w:t xml:space="preserve">AEAT</w:t>
      </w:r>
      <w:r>
        <w:rPr>
          <w:rFonts w:ascii="Cambria" w:hAnsi="Cambria"/>
        </w:rPr>
        <w:t xml:space="preserve"> encomienda la realización material de las verificaciones previas al despacho aduanero a la </w:t>
      </w:r>
      <w:r>
        <w:rPr>
          <w:rFonts w:ascii="Cambria" w:hAnsi="Cambria"/>
          <w:b/>
          <w:bCs/>
        </w:rPr>
        <w:t xml:space="preserve">Secretaría de Estado de Comercio</w:t>
      </w:r>
      <w:r>
        <w:rPr>
          <w:rFonts w:ascii="Cambria" w:hAnsi="Cambria"/>
        </w:rPr>
        <w:t xml:space="preserve">, ejecutadas a través de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Resolución de 29 de noviembre de 2016</w:t>
      </w:r>
      <w:r>
        <w:rPr>
          <w:rFonts w:ascii="Cambria" w:hAnsi="Cambria"/>
        </w:rPr>
        <w:t xml:space="preserve"> de la </w:t>
      </w:r>
      <w:r>
        <w:rPr>
          <w:rFonts w:ascii="Cambria" w:hAnsi="Cambria"/>
          <w:b/>
          <w:bCs/>
        </w:rPr>
        <w:t xml:space="preserve">DG de Comercio Internacional e Inversiones</w:t>
      </w:r>
      <w:r>
        <w:rPr>
          <w:rFonts w:ascii="Cambria" w:hAnsi="Cambria"/>
        </w:rPr>
        <w:t xml:space="preserve"> designa las Direcciones Territoriales y Provinciales de Comercio habilitadas para emitir permisos y certificados del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, y regula el </w:t>
      </w:r>
      <w:r>
        <w:rPr>
          <w:rFonts w:ascii="Cambria" w:hAnsi="Cambria"/>
          <w:b/>
          <w:bCs/>
        </w:rPr>
        <w:t xml:space="preserve">DIESAC</w:t>
      </w:r>
      <w:r>
        <w:rPr>
          <w:rFonts w:ascii="Cambria" w:hAnsi="Cambria"/>
        </w:rPr>
        <w:t xml:space="preserve"> (Documento de Inspección de Especies Sujetas a Control).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</w:t>
      </w:r>
      <w:r>
        <w:rPr>
          <w:rFonts w:ascii="Cambria" w:hAnsi="Cambria"/>
          <w:b/>
          <w:bCs/>
        </w:rPr>
        <w:t xml:space="preserve">12 Servicios de Inspección SOIVRE</w:t>
      </w:r>
      <w:r>
        <w:rPr>
          <w:rFonts w:ascii="Cambria" w:hAnsi="Cambria"/>
        </w:rPr>
        <w:t xml:space="preserve"> autorizados para la inspección de especímenes CITES: </w:t>
      </w:r>
      <w:r>
        <w:rPr>
          <w:rFonts w:ascii="Cambria" w:hAnsi="Cambria"/>
          <w:b/>
          <w:bCs/>
        </w:rPr>
        <w:t xml:space="preserve">Vigo, Bilbao, Barcelona, Valencia, Alicante, Málaga, Algeciras, Sevilla, Palma de Mallorca, Las Palmas, Tenerife y Madrid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Órganos de coordinación en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sobre el Comercio de Fauna y Flora Silvestres</w:t>
      </w:r>
      <w:r>
        <w:rPr>
          <w:rFonts w:ascii="Cambria" w:hAnsi="Cambria"/>
        </w:rPr>
        <w:t xml:space="preserve">: representantes de las Autoridades Administrativas, presidido por la Comisión Europea (3-4 reuniones/año). Adopta medidas de aplicación del Reglamento (CE) 338/97.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Grupo de Revisión Científica (SRG)</w:t>
      </w:r>
      <w:r>
        <w:rPr>
          <w:rFonts w:ascii="Cambria" w:hAnsi="Cambria"/>
        </w:rPr>
        <w:t xml:space="preserve">: representantes de las Autoridades Científicas, examina el cumplimiento de los requisitos de conservación.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Grupo de Observancia o Vigilancia</w:t>
      </w:r>
      <w:r>
        <w:rPr>
          <w:rFonts w:ascii="Cambria" w:hAnsi="Cambria"/>
        </w:rPr>
        <w:t xml:space="preserve">: autoridades aduaneras, policía e inspectores de fauna y flora de cada Estado miembro, presidido por la Comisión (2 reuniones/año).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OBSERVANCIA: CONTROLES POLICIALES Y ADUANEROS EN ESPAÑA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El Cuerpo de Inspectores del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Sin ostentar ya la condición de </w:t>
      </w:r>
      <w:r>
        <w:rPr>
          <w:rFonts w:ascii="Cambria" w:hAnsi="Cambria"/>
          <w:b/>
          <w:bCs/>
        </w:rPr>
        <w:t xml:space="preserve">Autoridad Administrativa CITES</w:t>
      </w:r>
      <w:r>
        <w:rPr>
          <w:rFonts w:ascii="Cambria" w:hAnsi="Cambria"/>
        </w:rPr>
        <w:t xml:space="preserve">, ofrece </w:t>
      </w:r>
      <w:r>
        <w:rPr>
          <w:rFonts w:ascii="Cambria" w:hAnsi="Cambria"/>
          <w:b/>
          <w:bCs/>
        </w:rPr>
        <w:t xml:space="preserve">asistencia técnica especializada</w:t>
      </w:r>
      <w:r>
        <w:rPr>
          <w:rFonts w:ascii="Cambria" w:hAnsi="Cambria"/>
        </w:rPr>
        <w:t xml:space="preserve"> en los puntos de entrada de productos CITES, mediante verificaciones físicas y documentales previas al despacho aduanero y la emisión del </w:t>
      </w:r>
      <w:r>
        <w:rPr>
          <w:rFonts w:ascii="Cambria" w:hAnsi="Cambria"/>
          <w:b/>
          <w:bCs/>
        </w:rPr>
        <w:t xml:space="preserve">DIESAC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Detecta las </w:t>
      </w:r>
      <w:r>
        <w:rPr>
          <w:rFonts w:ascii="Cambria" w:hAnsi="Cambria"/>
          <w:b/>
          <w:bCs/>
        </w:rPr>
        <w:t xml:space="preserve">disconformidades en las declaraciones</w:t>
      </w:r>
      <w:r>
        <w:rPr>
          <w:rFonts w:ascii="Cambria" w:hAnsi="Cambria"/>
        </w:rPr>
        <w:t xml:space="preserve">: especie declarada distinta de la real, número declarado inferior al real, o discrepancias en la fuente u origen declarados.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Cuerpos policiales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SEPRONA</w:t>
      </w:r>
      <w:r>
        <w:rPr>
          <w:rFonts w:ascii="Cambria" w:hAnsi="Cambria"/>
        </w:rPr>
        <w:t xml:space="preserve"> (Guardia Civil): grupo especializado en crímenes medioambientales en España.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Asistido por el </w:t>
      </w:r>
      <w:r>
        <w:rPr>
          <w:rFonts w:ascii="Cambria" w:hAnsi="Cambria"/>
          <w:b/>
          <w:bCs/>
        </w:rPr>
        <w:t xml:space="preserve">Cuerpo Nacional de Policía</w:t>
      </w:r>
      <w:r>
        <w:rPr>
          <w:rFonts w:ascii="Cambria" w:hAnsi="Cambria"/>
        </w:rPr>
        <w:t xml:space="preserve"> y los </w:t>
      </w:r>
      <w:r>
        <w:rPr>
          <w:rFonts w:ascii="Cambria" w:hAnsi="Cambria"/>
          <w:b/>
          <w:bCs/>
        </w:rPr>
        <w:t xml:space="preserve">Cuerpos de Policía Autonómicos</w:t>
      </w:r>
      <w:r>
        <w:rPr>
          <w:rFonts w:ascii="Cambria" w:hAnsi="Cambria"/>
        </w:rPr>
        <w:t xml:space="preserve"> para la detención de infractores.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servicios de aduanas, integrados en la </w:t>
      </w:r>
      <w:r>
        <w:rPr>
          <w:rFonts w:ascii="Cambria" w:hAnsi="Cambria"/>
          <w:b/>
          <w:bCs/>
        </w:rPr>
        <w:t xml:space="preserve">AEAT</w:t>
      </w:r>
      <w:r>
        <w:rPr>
          <w:rFonts w:ascii="Cambria" w:hAnsi="Cambria"/>
        </w:rPr>
        <w:t xml:space="preserve">, establecen los controles fronterizos.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comercio ilegal: </w:t>
      </w:r>
      <w:r>
        <w:rPr>
          <w:rFonts w:ascii="Cambria" w:hAnsi="Cambria"/>
          <w:b/>
          <w:bCs/>
        </w:rPr>
        <w:t xml:space="preserve">contrabando</w:t>
      </w:r>
      <w:r>
        <w:rPr>
          <w:rFonts w:ascii="Cambria" w:hAnsi="Cambria"/>
        </w:rPr>
        <w:t xml:space="preserve"> (sin trámites ni documentación CITES), </w:t>
      </w:r>
      <w:r>
        <w:rPr>
          <w:rFonts w:ascii="Cambria" w:hAnsi="Cambria"/>
          <w:b/>
          <w:bCs/>
        </w:rPr>
        <w:t xml:space="preserve">disconformidades en las declaraciones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documentación falsa o no válida</w:t>
      </w:r>
      <w:r>
        <w:rPr>
          <w:rFonts w:ascii="Cambria" w:hAnsi="Cambria"/>
        </w:rPr>
        <w:t xml:space="preserve"> (documentos falsificados, obtenidos con declaración falsa, o falsos/imitados).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frecuentemente detectados: medicinas tradicionales asiáticas, caviar, o especies del Anexo B capturadas en el medio natural e introducidas como criadas en cautividad mediante documentos falsos.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Seguimiento y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Cooperación entre Autoridades</w:t>
      </w:r>
      <w:r>
        <w:rPr>
          <w:rFonts w:ascii="Cambria" w:hAnsi="Cambria"/>
        </w:rPr>
        <w:t xml:space="preserve">: las Científicas supervisan la concordancia entre permisos de exportación y exportaciones reales, pudiendo recomendar limitar o suspender permisos.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Informes anuales</w:t>
      </w:r>
      <w:r>
        <w:rPr>
          <w:rFonts w:ascii="Cambria" w:hAnsi="Cambria"/>
        </w:rPr>
        <w:t xml:space="preserve"> a la Secretaría CITES (importaciones, exportaciones, reexportaciones). En la UE, conforme al </w:t>
      </w:r>
      <w:r>
        <w:rPr>
          <w:rFonts w:ascii="Cambria" w:hAnsi="Cambria"/>
          <w:b/>
          <w:bCs/>
        </w:rPr>
        <w:t xml:space="preserve">artículo 15 del Reglamento (CE) 338/97</w:t>
      </w:r>
      <w:r>
        <w:rPr>
          <w:rFonts w:ascii="Cambria" w:hAnsi="Cambria"/>
        </w:rPr>
        <w:t xml:space="preserve">. La no presentación puede acarrear la </w:t>
      </w:r>
      <w:r>
        <w:rPr>
          <w:rFonts w:ascii="Cambria" w:hAnsi="Cambria"/>
          <w:b/>
          <w:bCs/>
        </w:rPr>
        <w:t xml:space="preserve">suspensión del comercio</w:t>
      </w:r>
      <w:r>
        <w:rPr>
          <w:rFonts w:ascii="Cambria" w:hAnsi="Cambria"/>
        </w:rPr>
        <w:t xml:space="preserve"> con ese país. La Comisión publica el </w:t>
      </w:r>
      <w:r>
        <w:rPr>
          <w:rFonts w:ascii="Cambria" w:hAnsi="Cambria"/>
          <w:b/>
          <w:bCs/>
        </w:rPr>
        <w:t xml:space="preserve">Libro Anual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Informes bienales</w:t>
      </w:r>
      <w:r>
        <w:rPr>
          <w:rFonts w:ascii="Cambria" w:hAnsi="Cambria"/>
        </w:rPr>
        <w:t xml:space="preserve"> sobre medidas legislativas y administrativas adoptadas, conforme al </w:t>
      </w:r>
      <w:r>
        <w:rPr>
          <w:rFonts w:ascii="Cambria" w:hAnsi="Cambria"/>
          <w:b/>
          <w:bCs/>
        </w:rPr>
        <w:t xml:space="preserve">artículo VIII de la Convención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 no existir fronteras internas desde el </w:t>
      </w:r>
      <w:r>
        <w:rPr>
          <w:rFonts w:ascii="Cambria" w:hAnsi="Cambria"/>
          <w:b/>
          <w:bCs/>
        </w:rPr>
        <w:t xml:space="preserve">Mercado Único (1993)</w:t>
      </w:r>
      <w:r>
        <w:rPr>
          <w:rFonts w:ascii="Cambria" w:hAnsi="Cambria"/>
        </w:rPr>
        <w:t xml:space="preserve">, no se requieren permisos para el movimiento de especímenes de los Anexos B, C o D dentro de la UE.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COOPERACIÓN INTERNACIONAL EN LA OBSERVANCIA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Organización Mundial de Aduanas (OMA)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Organización intergubernamental con </w:t>
      </w:r>
      <w:r>
        <w:rPr>
          <w:rFonts w:ascii="Cambria" w:hAnsi="Cambria"/>
          <w:b/>
          <w:bCs/>
        </w:rPr>
        <w:t xml:space="preserve">186 administraciones de aduanas miembro</w:t>
      </w:r>
      <w:r>
        <w:rPr>
          <w:rFonts w:ascii="Cambria" w:hAnsi="Cambria"/>
        </w:rPr>
        <w:t xml:space="preserve">, que gestionan aproximadamente el </w:t>
      </w:r>
      <w:r>
        <w:rPr>
          <w:rFonts w:ascii="Cambria" w:hAnsi="Cambria"/>
          <w:b/>
          <w:bCs/>
        </w:rPr>
        <w:t xml:space="preserve">98% del comercio internacional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Coopera con la Secretaría CITES en la lucha contra el tráfico ilícito, mediante asistencia técnica y formación.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INTERPOL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Creada en </w:t>
      </w:r>
      <w:r>
        <w:rPr>
          <w:rFonts w:ascii="Cambria" w:hAnsi="Cambria"/>
          <w:b/>
          <w:bCs/>
        </w:rPr>
        <w:t xml:space="preserve">1923</w:t>
      </w:r>
      <w:r>
        <w:rPr>
          <w:rFonts w:ascii="Cambria" w:hAnsi="Cambria"/>
        </w:rPr>
        <w:t xml:space="preserve">, cuenta con </w:t>
      </w:r>
      <w:r>
        <w:rPr>
          <w:rFonts w:ascii="Cambria" w:hAnsi="Cambria"/>
          <w:b/>
          <w:bCs/>
        </w:rPr>
        <w:t xml:space="preserve">196 países miembros</w:t>
      </w:r>
      <w:r>
        <w:rPr>
          <w:rFonts w:ascii="Cambria" w:hAnsi="Cambria"/>
        </w:rPr>
        <w:t xml:space="preserve">. Desde </w:t>
      </w:r>
      <w:r>
        <w:rPr>
          <w:rFonts w:ascii="Cambria" w:hAnsi="Cambria"/>
          <w:b/>
          <w:bCs/>
        </w:rPr>
        <w:t xml:space="preserve">1992</w:t>
      </w:r>
      <w:r>
        <w:rPr>
          <w:rFonts w:ascii="Cambria" w:hAnsi="Cambria"/>
        </w:rPr>
        <w:t xml:space="preserve"> lucha contra el crimen medioambiental mediante sus grupos de trabajo de </w:t>
      </w:r>
      <w:r>
        <w:rPr>
          <w:rFonts w:ascii="Cambria" w:hAnsi="Cambria"/>
          <w:b/>
          <w:bCs/>
        </w:rPr>
        <w:t xml:space="preserve">Polución y Vida Silvestre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ICCWC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Creado en </w:t>
      </w:r>
      <w:r>
        <w:rPr>
          <w:rFonts w:ascii="Cambria" w:hAnsi="Cambria"/>
          <w:b/>
          <w:bCs/>
        </w:rPr>
        <w:t xml:space="preserve">2010</w:t>
      </w:r>
      <w:r>
        <w:rPr>
          <w:rFonts w:ascii="Cambria" w:hAnsi="Cambria"/>
        </w:rPr>
        <w:t xml:space="preserve">, alianza entre </w:t>
      </w:r>
      <w:r>
        <w:rPr>
          <w:rFonts w:ascii="Cambria" w:hAnsi="Cambria"/>
          <w:b/>
          <w:bCs/>
        </w:rPr>
        <w:t xml:space="preserve">CITES, INTERPOL, UNODC, Banco Mundial y OMA</w:t>
      </w:r>
      <w:r>
        <w:rPr>
          <w:rFonts w:ascii="Cambria" w:hAnsi="Cambria"/>
        </w:rPr>
        <w:t xml:space="preserve"> contra los delitos graves relativos a la vida silvestre y los bosques.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RÉGIMEN SANCIONADOR EN ESPAÑA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Marco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disposiciones sancionadoras son competencia de cada Estado miembro. Conforme al </w:t>
      </w:r>
      <w:r>
        <w:rPr>
          <w:rFonts w:ascii="Cambria" w:hAnsi="Cambria"/>
          <w:b/>
          <w:bCs/>
        </w:rPr>
        <w:t xml:space="preserve">artículo 16 del Reglamento (CE) 338/97</w:t>
      </w:r>
      <w:r>
        <w:rPr>
          <w:rFonts w:ascii="Cambria" w:hAnsi="Cambria"/>
        </w:rPr>
        <w:t xml:space="preserve">, deben sancionarse, como mínimo: comercio sin documentación correcta, presentación de solicitudes o documentación falsas, incumplimiento de las condiciones de los permisos, comercio del Anexo A sin certificado de exención, y uso de certificados para especímenes distintos.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Vía penal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Orgánica 10/1995</w:t>
      </w:r>
      <w:r>
        <w:rPr>
          <w:rFonts w:ascii="Cambria" w:hAnsi="Cambria"/>
        </w:rPr>
        <w:t xml:space="preserve">, del Código Penal, aplicable cuando no hay contrabando (declaraciones disconformes o documentos falsos).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334</w:t>
      </w:r>
      <w:r>
        <w:rPr>
          <w:rFonts w:ascii="Cambria" w:hAnsi="Cambria"/>
        </w:rPr>
        <w:t xml:space="preserve"> castiga cazar, pescar, adquirir, poseer, destruir o traficar con especies protegidas: </w:t>
      </w:r>
      <w:r>
        <w:rPr>
          <w:rFonts w:ascii="Cambria" w:hAnsi="Cambria"/>
          <w:b/>
          <w:bCs/>
        </w:rPr>
        <w:t xml:space="preserve">prisión de 6 meses a 2 años o multa de 8 a 24 meses</w:t>
      </w:r>
      <w:r>
        <w:rPr>
          <w:rFonts w:ascii="Cambria" w:hAnsi="Cambria"/>
        </w:rPr>
        <w:t xml:space="preserve">, más inhabilitación especial de 2 a 4 años.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Pena en su </w:t>
      </w:r>
      <w:r>
        <w:rPr>
          <w:rFonts w:ascii="Cambria" w:hAnsi="Cambria"/>
          <w:b/>
          <w:bCs/>
        </w:rPr>
        <w:t xml:space="preserve">mitad superior</w:t>
      </w:r>
      <w:r>
        <w:rPr>
          <w:rFonts w:ascii="Cambria" w:hAnsi="Cambria"/>
        </w:rPr>
        <w:t xml:space="preserve"> si son especies en peligro de extinción. Se reduce a </w:t>
      </w:r>
      <w:r>
        <w:rPr>
          <w:rFonts w:ascii="Cambria" w:hAnsi="Cambria"/>
          <w:b/>
          <w:bCs/>
        </w:rPr>
        <w:t xml:space="preserve">3 meses a 1 año</w:t>
      </w:r>
      <w:r>
        <w:rPr>
          <w:rFonts w:ascii="Cambria" w:hAnsi="Cambria"/>
        </w:rPr>
        <w:t xml:space="preserve"> (o multa de 4 a 8 meses) por imprudencia grave.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Vía aduanera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Orgánica 12/1995</w:t>
      </w:r>
      <w:r>
        <w:rPr>
          <w:rFonts w:ascii="Cambria" w:hAnsi="Cambria"/>
        </w:rPr>
        <w:t xml:space="preserve">, de Represión del Contrabando (modificada, entre otras, por la LO 6/2011):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Delito de contrabando</w:t>
      </w:r>
      <w:r>
        <w:rPr>
          <w:rFonts w:ascii="Cambria" w:hAnsi="Cambria"/>
        </w:rPr>
        <w:t xml:space="preserve">: valor igual o superior a </w:t>
      </w:r>
      <w:r>
        <w:rPr>
          <w:rFonts w:ascii="Cambria" w:hAnsi="Cambria"/>
          <w:b/>
          <w:bCs/>
        </w:rPr>
        <w:t xml:space="preserve">50.000 euros</w:t>
      </w:r>
      <w:r>
        <w:rPr>
          <w:rFonts w:ascii="Cambria" w:hAnsi="Cambria"/>
        </w:rPr>
        <w:t xml:space="preserve">. Pena de </w:t>
      </w:r>
      <w:r>
        <w:rPr>
          <w:rFonts w:ascii="Cambria" w:hAnsi="Cambria"/>
          <w:b/>
          <w:bCs/>
        </w:rPr>
        <w:t xml:space="preserve">prisión de 1 a 5 años</w:t>
      </w:r>
      <w:r>
        <w:rPr>
          <w:rFonts w:ascii="Cambria" w:hAnsi="Cambria"/>
        </w:rPr>
        <w:t xml:space="preserve"> y multa del </w:t>
      </w:r>
      <w:r>
        <w:rPr>
          <w:rFonts w:ascii="Cambria" w:hAnsi="Cambria"/>
          <w:b/>
          <w:bCs/>
        </w:rPr>
        <w:t xml:space="preserve">tanto al séxtuplo</w:t>
      </w:r>
      <w:r>
        <w:rPr>
          <w:rFonts w:ascii="Cambria" w:hAnsi="Cambria"/>
        </w:rPr>
        <w:t xml:space="preserve"> (hasta el </w:t>
      </w:r>
      <w:r>
        <w:rPr>
          <w:rFonts w:ascii="Cambria" w:hAnsi="Cambria"/>
          <w:b/>
          <w:bCs/>
        </w:rPr>
        <w:t xml:space="preserve">600%</w:t>
      </w:r>
      <w:r>
        <w:rPr>
          <w:rFonts w:ascii="Cambria" w:hAnsi="Cambria"/>
        </w:rPr>
        <w:t xml:space="preserve">) del valor de los bienes.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Infracción administrativa de contrabando</w:t>
      </w:r>
      <w:r>
        <w:rPr>
          <w:rFonts w:ascii="Cambria" w:hAnsi="Cambria"/>
        </w:rPr>
        <w:t xml:space="preserve">: valor inferior a 50.000 euros, clasificada según el </w:t>
      </w:r>
      <w:r>
        <w:rPr>
          <w:rFonts w:ascii="Cambria" w:hAnsi="Cambria"/>
          <w:b/>
          <w:bCs/>
        </w:rPr>
        <w:t xml:space="preserve">artículo 11</w:t>
      </w:r>
      <w:r>
        <w:rPr>
          <w:rFonts w:ascii="Cambria" w:hAnsi="Cambria"/>
        </w:rPr>
        <w:t xml:space="preserve"> en </w:t>
      </w:r>
      <w:r>
        <w:rPr>
          <w:rFonts w:ascii="Cambria" w:hAnsi="Cambria"/>
          <w:b/>
          <w:bCs/>
        </w:rPr>
        <w:t xml:space="preserve">leve</w:t>
      </w:r>
      <w:r>
        <w:rPr>
          <w:rFonts w:ascii="Cambria" w:hAnsi="Cambria"/>
        </w:rPr>
        <w:t xml:space="preserve"> (menos de 6.000 €), </w:t>
      </w:r>
      <w:r>
        <w:rPr>
          <w:rFonts w:ascii="Cambria" w:hAnsi="Cambria"/>
          <w:b/>
          <w:bCs/>
        </w:rPr>
        <w:t xml:space="preserve">grave</w:t>
      </w:r>
      <w:r>
        <w:rPr>
          <w:rFonts w:ascii="Cambria" w:hAnsi="Cambria"/>
        </w:rPr>
        <w:t xml:space="preserve"> (6.000-18.000 €) y </w:t>
      </w:r>
      <w:r>
        <w:rPr>
          <w:rFonts w:ascii="Cambria" w:hAnsi="Cambria"/>
          <w:b/>
          <w:bCs/>
        </w:rPr>
        <w:t xml:space="preserve">muy grave</w:t>
      </w:r>
      <w:r>
        <w:rPr>
          <w:rFonts w:ascii="Cambria" w:hAnsi="Cambria"/>
        </w:rPr>
        <w:t xml:space="preserve"> (más de 18.000 €).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Conforme al </w:t>
      </w:r>
      <w:r>
        <w:rPr>
          <w:rFonts w:ascii="Cambria" w:hAnsi="Cambria"/>
          <w:b/>
          <w:bCs/>
        </w:rPr>
        <w:t xml:space="preserve">artículo 12</w:t>
      </w:r>
      <w:r>
        <w:rPr>
          <w:rFonts w:ascii="Cambria" w:hAnsi="Cambria"/>
        </w:rPr>
        <w:t xml:space="preserve">, multa proporcional: </w:t>
      </w:r>
      <w:r>
        <w:rPr>
          <w:rFonts w:ascii="Cambria" w:hAnsi="Cambria"/>
          <w:b/>
          <w:bCs/>
        </w:rPr>
        <w:t xml:space="preserve">200-225%</w:t>
      </w:r>
      <w:r>
        <w:rPr>
          <w:rFonts w:ascii="Cambria" w:hAnsi="Cambria"/>
        </w:rPr>
        <w:t xml:space="preserve"> (leves), </w:t>
      </w:r>
      <w:r>
        <w:rPr>
          <w:rFonts w:ascii="Cambria" w:hAnsi="Cambria"/>
          <w:b/>
          <w:bCs/>
        </w:rPr>
        <w:t xml:space="preserve">225-275%</w:t>
      </w:r>
      <w:r>
        <w:rPr>
          <w:rFonts w:ascii="Cambria" w:hAnsi="Cambria"/>
        </w:rPr>
        <w:t xml:space="preserve"> (graves), </w:t>
      </w:r>
      <w:r>
        <w:rPr>
          <w:rFonts w:ascii="Cambria" w:hAnsi="Cambria"/>
          <w:b/>
          <w:bCs/>
        </w:rPr>
        <w:t xml:space="preserve">275-350%</w:t>
      </w:r>
      <w:r>
        <w:rPr>
          <w:rFonts w:ascii="Cambria" w:hAnsi="Cambria"/>
        </w:rPr>
        <w:t xml:space="preserve"> (muy graves), con mínimo de </w:t>
      </w:r>
      <w:r>
        <w:rPr>
          <w:rFonts w:ascii="Cambria" w:hAnsi="Cambria"/>
          <w:b/>
          <w:bCs/>
        </w:rPr>
        <w:t xml:space="preserve">1.000 euros</w:t>
      </w:r>
      <w:r>
        <w:rPr>
          <w:rFonts w:ascii="Cambria" w:hAnsi="Cambria"/>
        </w:rPr>
        <w:t xml:space="preserve">, posible cierre del establecimiento (4 días a 6 meses en graves, 6 meses y 1 día a 12 meses en muy graves reiteradas).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1649/1998</w:t>
      </w:r>
      <w:r>
        <w:rPr>
          <w:rFonts w:ascii="Cambria" w:hAnsi="Cambria"/>
        </w:rPr>
        <w:t xml:space="preserve"> desarrolla el procedimiento y los criterios de graduación de sanciones.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1333/2006</w:t>
      </w:r>
      <w:r>
        <w:rPr>
          <w:rFonts w:ascii="Cambria" w:hAnsi="Cambria"/>
        </w:rPr>
        <w:t xml:space="preserve"> regula el destino de los especímenes decomisados.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observancia CITES en España combina la actuación administrativa (</w:t>
      </w:r>
      <w:r>
        <w:rPr>
          <w:rFonts w:ascii="Cambria" w:hAnsi="Cambria"/>
          <w:b/>
          <w:bCs/>
        </w:rPr>
        <w:t xml:space="preserve">MITECO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CSIC</w:t>
      </w:r>
      <w:r>
        <w:rPr>
          <w:rFonts w:ascii="Cambria" w:hAnsi="Cambria"/>
        </w:rPr>
        <w:t xml:space="preserve">), la operativa (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en frontera) y la policial-judicial (</w:t>
      </w:r>
      <w:r>
        <w:rPr>
          <w:rFonts w:ascii="Cambria" w:hAnsi="Cambria"/>
          <w:b/>
          <w:bCs/>
        </w:rPr>
        <w:t xml:space="preserve">SEPRONA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Policía Nacional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AEAT</w:t>
      </w:r>
      <w:r>
        <w:rPr>
          <w:rFonts w:ascii="Cambria" w:hAnsi="Cambria"/>
        </w:rPr>
        <w:t xml:space="preserve">), en cooperación con </w:t>
      </w:r>
      <w:r>
        <w:rPr>
          <w:rFonts w:ascii="Cambria" w:hAnsi="Cambria"/>
          <w:b/>
          <w:bCs/>
        </w:rPr>
        <w:t xml:space="preserve">OMA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INTERPOL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ICCWC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régimen sancionador, articulado entre el </w:t>
      </w:r>
      <w:r>
        <w:rPr>
          <w:rFonts w:ascii="Cambria" w:hAnsi="Cambria"/>
          <w:b/>
          <w:bCs/>
        </w:rPr>
        <w:t xml:space="preserve">Código Penal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Ley de Represión del Contrabando</w:t>
      </w:r>
      <w:r>
        <w:rPr>
          <w:rFonts w:ascii="Cambria" w:hAnsi="Cambria"/>
        </w:rPr>
        <w:t xml:space="preserve">, gradúa la respuesta según la gravedad y el valor económico de cada infracción.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28 – Autoridades de Aplicación y Observancia del Convenio CITES en España. Relación con otras Autoridades Internacionales (INTERPOL y otras). La legislación sancionadora en España.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