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Convención CITES</w:t>
      </w:r>
      <w:r>
        <w:rPr>
          <w:rFonts w:ascii="Cambria" w:hAnsi="Cambria"/>
        </w:rPr>
        <w:t xml:space="preserve"> se firmó en </w:t>
      </w:r>
      <w:r>
        <w:rPr>
          <w:rFonts w:ascii="Cambria" w:hAnsi="Cambria"/>
          <w:b/>
          <w:bCs/>
        </w:rPr>
        <w:t xml:space="preserve">Washington</w:t>
      </w:r>
      <w:r>
        <w:rPr>
          <w:rFonts w:ascii="Cambria" w:hAnsi="Cambria"/>
        </w:rPr>
        <w:t xml:space="preserve"> el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, entró en vigor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 y cuenta actualmente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. España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Administrativa española es la </w:t>
      </w: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 del </w:t>
      </w:r>
      <w:r>
        <w:rPr>
          <w:rFonts w:ascii="Cambria" w:hAnsi="Cambria"/>
          <w:b/>
          <w:bCs/>
        </w:rPr>
        <w:t xml:space="preserve">MITECO</w:t>
      </w:r>
      <w:r>
        <w:rPr>
          <w:rFonts w:ascii="Cambria" w:hAnsi="Cambria"/>
        </w:rPr>
        <w:t xml:space="preserve">, correspondiendo a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 las verificaciones previas al despacho aduanero en frontera.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CITES protege más de </w:t>
      </w:r>
      <w:r>
        <w:rPr>
          <w:rFonts w:ascii="Cambria" w:hAnsi="Cambria"/>
          <w:b/>
          <w:bCs/>
        </w:rPr>
        <w:t xml:space="preserve">40.900 especies</w:t>
      </w:r>
      <w:r>
        <w:rPr>
          <w:rFonts w:ascii="Cambria" w:hAnsi="Cambria"/>
        </w:rPr>
        <w:t xml:space="preserve">, de las cuales aproximadamente </w:t>
      </w:r>
      <w:r>
        <w:rPr>
          <w:rFonts w:ascii="Cambria" w:hAnsi="Cambria"/>
          <w:b/>
          <w:bCs/>
        </w:rPr>
        <w:t xml:space="preserve">34.310 son vegetales</w:t>
      </w:r>
      <w:r>
        <w:rPr>
          <w:rFonts w:ascii="Cambria" w:hAnsi="Cambria"/>
        </w:rPr>
        <w:t xml:space="preserve">, clasificadas en tres </w:t>
      </w:r>
      <w:r>
        <w:rPr>
          <w:rFonts w:ascii="Cambria" w:hAnsi="Cambria"/>
          <w:b/>
          <w:bCs/>
        </w:rPr>
        <w:t xml:space="preserve">Apéndices</w:t>
      </w:r>
      <w:r>
        <w:rPr>
          <w:rFonts w:ascii="Cambria" w:hAnsi="Cambria"/>
        </w:rPr>
        <w:t xml:space="preserve"> (artículo II) trasladados a nivel de la UE a cuatro </w:t>
      </w:r>
      <w:r>
        <w:rPr>
          <w:rFonts w:ascii="Cambria" w:hAnsi="Cambria"/>
          <w:b/>
          <w:bCs/>
        </w:rPr>
        <w:t xml:space="preserve">Anexos (A, B, C y D)</w:t>
      </w:r>
      <w:r>
        <w:rPr>
          <w:rFonts w:ascii="Cambria" w:hAnsi="Cambria"/>
        </w:rPr>
        <w:t xml:space="preserve"> mediante 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ESPECÍMENES DE ORIGEN VEGETAL SUJETOS AL CONVENIO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Espécimen vegetal</w:t>
      </w:r>
      <w:r>
        <w:rPr>
          <w:rFonts w:ascii="Cambria" w:hAnsi="Cambria"/>
        </w:rPr>
        <w:t xml:space="preserve">: toda planta viva o muerta, o cualquier parte (raíces, hojas, madera) o derivado (medicinas, perfumes, tallas) fácilmente identificable, salvo exención expresa.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las especies de los </w:t>
      </w:r>
      <w:r>
        <w:rPr>
          <w:rFonts w:ascii="Cambria" w:hAnsi="Cambria"/>
          <w:b/>
          <w:bCs/>
        </w:rPr>
        <w:t xml:space="preserve">Apéndices II y III</w:t>
      </w:r>
      <w:r>
        <w:rPr>
          <w:rFonts w:ascii="Cambria" w:hAnsi="Cambria"/>
        </w:rPr>
        <w:t xml:space="preserve"> puede especificarse qué partes o derivados quedan sujetos o exentos.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distribución exacta de especies vegetales entre Apéndices varía tras cada Conferencia de las Partes. La </w:t>
      </w:r>
      <w:r>
        <w:rPr>
          <w:rFonts w:ascii="Cambria" w:hAnsi="Cambria"/>
          <w:b/>
          <w:bCs/>
        </w:rPr>
        <w:t xml:space="preserve">CoP20</w:t>
      </w:r>
      <w:r>
        <w:rPr>
          <w:rFonts w:ascii="Cambria" w:hAnsi="Cambria"/>
        </w:rPr>
        <w:t xml:space="preserve"> (Samarkanda, 2025) incorporó, entre otras, la </w:t>
      </w:r>
      <w:r>
        <w:rPr>
          <w:rFonts w:ascii="Cambria" w:hAnsi="Cambria"/>
          <w:b/>
          <w:bCs/>
        </w:rPr>
        <w:t xml:space="preserve">palma chilena</w:t>
      </w:r>
      <w:r>
        <w:rPr>
          <w:rFonts w:ascii="Cambria" w:hAnsi="Cambria"/>
        </w:rPr>
        <w:t xml:space="preserve"> (*Jubaea chilensis*) al Apéndice I y varias especies de </w:t>
      </w:r>
      <w:r>
        <w:rPr>
          <w:rFonts w:ascii="Cambria" w:hAnsi="Cambria"/>
          <w:b/>
          <w:bCs/>
        </w:rPr>
        <w:t xml:space="preserve">aloe</w:t>
      </w:r>
      <w:r>
        <w:rPr>
          <w:rFonts w:ascii="Cambria" w:hAnsi="Cambria"/>
        </w:rPr>
        <w:t xml:space="preserve"> y de </w:t>
      </w:r>
      <w:r>
        <w:rPr>
          <w:rFonts w:ascii="Cambria" w:hAnsi="Cambria"/>
          <w:b/>
          <w:bCs/>
        </w:rPr>
        <w:t xml:space="preserve">palma cola de caballo</w:t>
      </w:r>
      <w:r>
        <w:rPr>
          <w:rFonts w:ascii="Cambria" w:hAnsi="Cambria"/>
        </w:rPr>
        <w:t xml:space="preserve"> (*Beaucarnea* spp.) al Apéndice II.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de plantas del </w:t>
      </w:r>
      <w:r>
        <w:rPr>
          <w:rFonts w:ascii="Cambria" w:hAnsi="Cambria"/>
          <w:b/>
          <w:bCs/>
        </w:rPr>
        <w:t xml:space="preserve">Apéndice I</w:t>
      </w:r>
      <w:r>
        <w:rPr>
          <w:rFonts w:ascii="Cambria" w:hAnsi="Cambria"/>
        </w:rPr>
        <w:t xml:space="preserve"> recolectadas en su hábitat está prohibido. El de las del </w:t>
      </w:r>
      <w:r>
        <w:rPr>
          <w:rFonts w:ascii="Cambria" w:hAnsi="Cambria"/>
          <w:b/>
          <w:bCs/>
        </w:rPr>
        <w:t xml:space="preserve">Apéndice II</w:t>
      </w:r>
      <w:r>
        <w:rPr>
          <w:rFonts w:ascii="Cambria" w:hAnsi="Cambria"/>
        </w:rPr>
        <w:t xml:space="preserve"> está permitido pero regulado. Las especies del Apéndice I </w:t>
      </w:r>
      <w:r>
        <w:rPr>
          <w:rFonts w:ascii="Cambria" w:hAnsi="Cambria"/>
          <w:b/>
          <w:bCs/>
        </w:rPr>
        <w:t xml:space="preserve">reproducidas artificialmente</w:t>
      </w:r>
      <w:r>
        <w:rPr>
          <w:rFonts w:ascii="Cambria" w:hAnsi="Cambria"/>
        </w:rPr>
        <w:t xml:space="preserve"> se tratan como del Apéndice II.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Plantas reproducidas artificialmente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debe confundirse con "cultivo de plantas": una planta recolectada en el medio silvestre o cultivada sin cuidado especial en condiciones semi naturales nunca es "reproducida artificialmente".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considera reproducida artificialmente el espécimen cultivado en </w:t>
      </w:r>
      <w:r>
        <w:rPr>
          <w:rFonts w:ascii="Cambria" w:hAnsi="Cambria"/>
          <w:b/>
          <w:bCs/>
        </w:rPr>
        <w:t xml:space="preserve">medio controlado</w:t>
      </w:r>
      <w:r>
        <w:rPr>
          <w:rFonts w:ascii="Cambria" w:hAnsi="Cambria"/>
        </w:rPr>
        <w:t xml:space="preserve"> a partir de semillas, estacas, esquejes o propágulos amparados por exención o de un plantel parental cultivado.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registro de viveros es </w:t>
      </w:r>
      <w:r>
        <w:rPr>
          <w:rFonts w:ascii="Cambria" w:hAnsi="Cambria"/>
          <w:b/>
          <w:bCs/>
        </w:rPr>
        <w:t xml:space="preserve">voluntario</w:t>
      </w:r>
      <w:r>
        <w:rPr>
          <w:rFonts w:ascii="Cambria" w:hAnsi="Cambria"/>
        </w:rPr>
        <w:t xml:space="preserve"> para especies del Apéndice II y </w:t>
      </w:r>
      <w:r>
        <w:rPr>
          <w:rFonts w:ascii="Cambria" w:hAnsi="Cambria"/>
          <w:b/>
          <w:bCs/>
        </w:rPr>
        <w:t xml:space="preserve">obligatorio</w:t>
      </w:r>
      <w:r>
        <w:rPr>
          <w:rFonts w:ascii="Cambria" w:hAnsi="Cambria"/>
        </w:rPr>
        <w:t xml:space="preserve"> para las del Anexo 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Código de origen </w:t>
      </w:r>
      <w:r>
        <w:rPr>
          <w:rFonts w:ascii="Cambria" w:hAnsi="Cambria"/>
          <w:b/>
          <w:bCs/>
        </w:rPr>
        <w:t xml:space="preserve">"A"</w:t>
      </w:r>
      <w:r>
        <w:rPr>
          <w:rFonts w:ascii="Cambria" w:hAnsi="Cambria"/>
        </w:rPr>
        <w:t xml:space="preserve"> (reproducido artificialmente) frente a </w:t>
      </w:r>
      <w:r>
        <w:rPr>
          <w:rFonts w:ascii="Cambria" w:hAnsi="Cambria"/>
          <w:b/>
          <w:bCs/>
        </w:rPr>
        <w:t xml:space="preserve">"W"</w:t>
      </w:r>
      <w:r>
        <w:rPr>
          <w:rFonts w:ascii="Cambria" w:hAnsi="Cambria"/>
        </w:rPr>
        <w:t xml:space="preserve"> (recolectado en el medio silvestre) en los permisos.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Híbridos y cultivares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Conforme a la </w:t>
      </w:r>
      <w:r>
        <w:rPr>
          <w:rFonts w:ascii="Cambria" w:hAnsi="Cambria"/>
          <w:b/>
          <w:bCs/>
        </w:rPr>
        <w:t xml:space="preserve">Resolución Conf. 11.11 (Rev. CoP18)</w:t>
      </w:r>
      <w:r>
        <w:rPr>
          <w:rFonts w:ascii="Cambria" w:hAnsi="Cambria"/>
        </w:rPr>
        <w:t xml:space="preserve">, los híbridos quedan sujetos a la Convención si uno o ambos progenitores pertenecen a taxones incluidos en los Apéndices.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híbridos reproducidos artificialmente derivados del </w:t>
      </w:r>
      <w:r>
        <w:rPr>
          <w:rFonts w:ascii="Cambria" w:hAnsi="Cambria"/>
          <w:b/>
          <w:bCs/>
        </w:rPr>
        <w:t xml:space="preserve">Apéndice I</w:t>
      </w:r>
      <w:r>
        <w:rPr>
          <w:rFonts w:ascii="Cambria" w:hAnsi="Cambria"/>
        </w:rPr>
        <w:t xml:space="preserve"> sin anotaciones específicas se tratan como del </w:t>
      </w:r>
      <w:r>
        <w:rPr>
          <w:rFonts w:ascii="Cambria" w:hAnsi="Cambria"/>
          <w:b/>
          <w:bCs/>
        </w:rPr>
        <w:t xml:space="preserve">Apéndice II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cultivares</w:t>
      </w:r>
      <w:r>
        <w:rPr>
          <w:rFonts w:ascii="Cambria" w:hAnsi="Cambria"/>
        </w:rPr>
        <w:t xml:space="preserve"> (selecciones artísticas del horticultor por forma, color o pigmentación) reciben el mismo trato que los híbridos.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Certificado fitosanitario y otras exenciones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certificado fitosanitario</w:t>
      </w:r>
      <w:r>
        <w:rPr>
          <w:rFonts w:ascii="Cambria" w:hAnsi="Cambria"/>
        </w:rPr>
        <w:t xml:space="preserve"> puede sustituir al permiso de exportación (artículo VII.5) solo para especímenes reproducidos artificialmente del Apéndice II y para híbridos del Apéndice I. Debe incluir la mención </w:t>
      </w:r>
      <w:r>
        <w:rPr>
          <w:rFonts w:ascii="Cambria" w:hAnsi="Cambria"/>
          <w:b/>
          <w:bCs/>
        </w:rPr>
        <w:t xml:space="preserve">"Reproducido artificialmente según la definición de CITES"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Otras exenciones: cultivos in vitro en envases estériles, semillas, polen y polinias de los Apéndices II y III, flores cortadas de especímenes reproducidos artificialmente, ciertos derivados químicos y farmacéuticos (salvo el </w:t>
      </w:r>
      <w:r>
        <w:rPr>
          <w:rFonts w:ascii="Cambria" w:hAnsi="Cambria"/>
          <w:b/>
          <w:bCs/>
        </w:rPr>
        <w:t xml:space="preserve">pigeum</w:t>
      </w:r>
      <w:r>
        <w:rPr>
          <w:rFonts w:ascii="Cambria" w:hAnsi="Cambria"/>
        </w:rPr>
        <w:t xml:space="preserve">, sujeto a control), frutos y tallos de </w:t>
      </w:r>
      <w:r>
        <w:rPr>
          <w:rFonts w:ascii="Cambria" w:hAnsi="Cambria"/>
          <w:b/>
          <w:bCs/>
        </w:rPr>
        <w:t xml:space="preserve">chumberas</w:t>
      </w:r>
      <w:r>
        <w:rPr>
          <w:rFonts w:ascii="Cambria" w:hAnsi="Cambria"/>
        </w:rPr>
        <w:t xml:space="preserve"> (*Opuntia* spp.), híbridos reproducidos artificialmente de los géneros de orquídeas </w:t>
      </w:r>
      <w:r>
        <w:rPr>
          <w:rFonts w:ascii="Cambria" w:hAnsi="Cambria"/>
          <w:b/>
          <w:bCs/>
        </w:rPr>
        <w:t xml:space="preserve">Cymbidium, Dendrobium, Phalaenopsis y Vanda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Distinción práctica: las plantas silvestres presentan raíces cortadas, heridas y heterogeneidad de tamaño y taxón. Las reproducidas artificialmente son uniformes, sanas y de raíces ajustadas al recipiente.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ESPECIAL REFERENCIA A LAS ESPECIES ORNAMENTALES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Orquídeas</w:t>
      </w:r>
      <w:r>
        <w:rPr>
          <w:rFonts w:ascii="Cambria" w:hAnsi="Cambria"/>
        </w:rPr>
        <w:t xml:space="preserve"> (*Orchidaceae* spp.): mayoría en Apéndice II. Los </w:t>
      </w:r>
      <w:r>
        <w:rPr>
          <w:rFonts w:ascii="Cambria" w:hAnsi="Cambria"/>
          <w:b/>
          <w:bCs/>
        </w:rPr>
        <w:t xml:space="preserve">zapatitos de dama</w:t>
      </w:r>
      <w:r>
        <w:rPr>
          <w:rFonts w:ascii="Cambria" w:hAnsi="Cambria"/>
        </w:rPr>
        <w:t xml:space="preserve"> asiáticos (*Paphiopedilum* spp.) y sudamericanos (*Phragmipedium* spp.) están en el Apéndice 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Cactus</w:t>
      </w:r>
      <w:r>
        <w:rPr>
          <w:rFonts w:ascii="Cambria" w:hAnsi="Cambria"/>
        </w:rPr>
        <w:t xml:space="preserve"> (*Cactaceae* spp.): todo el grupo en CITES. Semillas exentas salvo cactus mexicanos y algunas variedades de Madagascar.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Plantas carnívoras</w:t>
      </w:r>
      <w:r>
        <w:rPr>
          <w:rFonts w:ascii="Cambria" w:hAnsi="Cambria"/>
        </w:rPr>
        <w:t xml:space="preserve">: géneros *Nepenthes* y *Sarracenia*, y la </w:t>
      </w:r>
      <w:r>
        <w:rPr>
          <w:rFonts w:ascii="Cambria" w:hAnsi="Cambria"/>
          <w:b/>
          <w:bCs/>
        </w:rPr>
        <w:t xml:space="preserve">venus atrapamoscas</w:t>
      </w:r>
      <w:r>
        <w:rPr>
          <w:rFonts w:ascii="Cambria" w:hAnsi="Cambria"/>
        </w:rPr>
        <w:t xml:space="preserve"> (*Dionaea muscipula*, Apéndice II).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Campanillas de invierno</w:t>
      </w:r>
      <w:r>
        <w:rPr>
          <w:rFonts w:ascii="Cambria" w:hAnsi="Cambria"/>
        </w:rPr>
        <w:t xml:space="preserve"> (*Galanthus* spp.): unas 20 especies, principalmente de Turquía, Apéndice II.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Ciclámenes</w:t>
      </w:r>
      <w:r>
        <w:rPr>
          <w:rFonts w:ascii="Cambria" w:hAnsi="Cambria"/>
        </w:rPr>
        <w:t xml:space="preserve"> (*Cyclamen* spp.): 21 especies en Apéndice II. El </w:t>
      </w:r>
      <w:r>
        <w:rPr>
          <w:rFonts w:ascii="Cambria" w:hAnsi="Cambria"/>
          <w:b/>
          <w:bCs/>
        </w:rPr>
        <w:t xml:space="preserve">ciclamen común</w:t>
      </w:r>
      <w:r>
        <w:rPr>
          <w:rFonts w:ascii="Cambria" w:hAnsi="Cambria"/>
        </w:rPr>
        <w:t xml:space="preserve"> (*Cyclamen persicum*) exento si es reproducido artificialmente.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Aloes</w:t>
      </w:r>
      <w:r>
        <w:rPr>
          <w:rFonts w:ascii="Cambria" w:hAnsi="Cambria"/>
        </w:rPr>
        <w:t xml:space="preserve"> (*Aloe* spp.): más de 400 especies, los aloes enanos de Madagascar en Apéndice I, el </w:t>
      </w:r>
      <w:r>
        <w:rPr>
          <w:rFonts w:ascii="Cambria" w:hAnsi="Cambria"/>
          <w:b/>
          <w:bCs/>
        </w:rPr>
        <w:t xml:space="preserve">aloe vera</w:t>
      </w:r>
      <w:r>
        <w:rPr>
          <w:rFonts w:ascii="Cambria" w:hAnsi="Cambria"/>
        </w:rPr>
        <w:t xml:space="preserve"> excluido de los Apéndices.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Euforbias</w:t>
      </w:r>
      <w:r>
        <w:rPr>
          <w:rFonts w:ascii="Cambria" w:hAnsi="Cambria"/>
        </w:rPr>
        <w:t xml:space="preserve"> (*Euphorbia* spp.): unas 700 euforbias suculentas incluidas, en Apéndice II salvo diez en Apéndice 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Cícadas</w:t>
      </w:r>
      <w:r>
        <w:rPr>
          <w:rFonts w:ascii="Cambria" w:hAnsi="Cambria"/>
        </w:rPr>
        <w:t xml:space="preserve"> (*Cycadaceae* y *Zamiaceae*): mayoría en Apéndice II, salvo tres géneros en Apéndice 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Palmas</w:t>
      </w:r>
      <w:r>
        <w:rPr>
          <w:rFonts w:ascii="Cambria" w:hAnsi="Cambria"/>
        </w:rPr>
        <w:t xml:space="preserve"> (*Arecaceae* spp.): mayoría en Apéndice II. La </w:t>
      </w:r>
      <w:r>
        <w:rPr>
          <w:rFonts w:ascii="Cambria" w:hAnsi="Cambria"/>
          <w:b/>
          <w:bCs/>
        </w:rPr>
        <w:t xml:space="preserve">palma trenzada de Madagascar</w:t>
      </w:r>
      <w:r>
        <w:rPr>
          <w:rFonts w:ascii="Cambria" w:hAnsi="Cambria"/>
        </w:rPr>
        <w:t xml:space="preserve"> (*Dypsis decipiens*) en Apéndice 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Helechos arborescentes</w:t>
      </w:r>
      <w:r>
        <w:rPr>
          <w:rFonts w:ascii="Cambria" w:hAnsi="Cambria"/>
        </w:rPr>
        <w:t xml:space="preserve"> (*Cyatheaceae* y *Dicksoniaceae*): todos en Apéndice II. Se comercializan como troncos talados o raíces secas.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ESPECIAL REFERENCIA A LAS ESPECIES MADERABLES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Palo de rosa</w:t>
      </w:r>
      <w:r>
        <w:rPr>
          <w:rFonts w:ascii="Cambria" w:hAnsi="Cambria"/>
        </w:rPr>
        <w:t xml:space="preserve"> o jacarandá de Brasil (*Dalbergia nigra*): Apéndice I. Comercio prohibido salvo reproducción artificial o material Pre-Convención. En la </w:t>
      </w:r>
      <w:r>
        <w:rPr>
          <w:rFonts w:ascii="Cambria" w:hAnsi="Cambria"/>
          <w:b/>
          <w:bCs/>
        </w:rPr>
        <w:t xml:space="preserve">CoP17 (2016)</w:t>
      </w:r>
      <w:r>
        <w:rPr>
          <w:rFonts w:ascii="Cambria" w:hAnsi="Cambria"/>
        </w:rPr>
        <w:t xml:space="preserve"> se incluyó el género completo *Dalbergia* spp. en los Apéndices.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Caoba americana</w:t>
      </w:r>
      <w:r>
        <w:rPr>
          <w:rFonts w:ascii="Cambria" w:hAnsi="Cambria"/>
        </w:rPr>
        <w:t xml:space="preserve"> (*Swietenia* spp.): Apéndice II, con tres especies, siendo la </w:t>
      </w:r>
      <w:r>
        <w:rPr>
          <w:rFonts w:ascii="Cambria" w:hAnsi="Cambria"/>
          <w:b/>
          <w:bCs/>
        </w:rPr>
        <w:t xml:space="preserve">caoba de hoja grande</w:t>
      </w:r>
      <w:r>
        <w:rPr>
          <w:rFonts w:ascii="Cambria" w:hAnsi="Cambria"/>
        </w:rPr>
        <w:t xml:space="preserve"> (*Swietenia macrophylla*) la más relevante comercialmente.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Cedro rojo</w:t>
      </w:r>
      <w:r>
        <w:rPr>
          <w:rFonts w:ascii="Cambria" w:hAnsi="Cambria"/>
        </w:rPr>
        <w:t xml:space="preserve"> (*Cedrela odorata*) y </w:t>
      </w:r>
      <w:r>
        <w:rPr>
          <w:rFonts w:ascii="Cambria" w:hAnsi="Cambria"/>
          <w:b/>
          <w:bCs/>
        </w:rPr>
        <w:t xml:space="preserve">sapeli</w:t>
      </w:r>
      <w:r>
        <w:rPr>
          <w:rFonts w:ascii="Cambria" w:hAnsi="Cambria"/>
        </w:rPr>
        <w:t xml:space="preserve"> (*Entandrophragma cylindricum*): exportados como madera aserrada para carpintería.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Ramín</w:t>
      </w:r>
      <w:r>
        <w:rPr>
          <w:rFonts w:ascii="Cambria" w:hAnsi="Cambria"/>
        </w:rPr>
        <w:t xml:space="preserve"> (*Gonystylus* spp.): Apéndice II, de bosques pantanosos de Indonesia y Malasia.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Ciruelo africano o pigeum</w:t>
      </w:r>
      <w:r>
        <w:rPr>
          <w:rFonts w:ascii="Cambria" w:hAnsi="Cambria"/>
        </w:rPr>
        <w:t xml:space="preserve"> (*Prunus africana*): Apéndice II, uso medicinal y en carpintería interior.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COMERCIO EXTERIOR DE ESPECÍMENES VEGETALES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CITES Trade Database</w:t>
      </w:r>
      <w:r>
        <w:rPr>
          <w:rFonts w:ascii="Cambria" w:hAnsi="Cambria"/>
        </w:rPr>
        <w:t xml:space="preserve"> (ejercicio 2023), el comercio español se concentra en la </w:t>
      </w:r>
      <w:r>
        <w:rPr>
          <w:rFonts w:ascii="Cambria" w:hAnsi="Cambria"/>
          <w:b/>
          <w:bCs/>
        </w:rPr>
        <w:t xml:space="preserve">importación de maderas</w:t>
      </w:r>
      <w:r>
        <w:rPr>
          <w:rFonts w:ascii="Cambria" w:hAnsi="Cambria"/>
        </w:rPr>
        <w:t xml:space="preserve">, seguida de partes y derivados y de plantas vivas.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Maderas tropicales destacadas: </w:t>
      </w:r>
      <w:r>
        <w:rPr>
          <w:rFonts w:ascii="Cambria" w:hAnsi="Cambria"/>
          <w:b/>
          <w:bCs/>
        </w:rPr>
        <w:t xml:space="preserve">palisandro de la India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sapeli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madera de agar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cedro rojo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palo santo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ébano de Mozambique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palo de rosa de Brasil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Plantas medicinales y ornamentales: </w:t>
      </w:r>
      <w:r>
        <w:rPr>
          <w:rFonts w:ascii="Cambria" w:hAnsi="Cambria"/>
          <w:b/>
          <w:bCs/>
        </w:rPr>
        <w:t xml:space="preserve">ciruelo africano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raíz de oro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cícada japonesa</w:t>
      </w:r>
      <w:r>
        <w:rPr>
          <w:rFonts w:ascii="Cambria" w:hAnsi="Cambria"/>
        </w:rPr>
        <w:t xml:space="preserve"> y diversos cactus.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escala mundial, el comercio vegetal CITES en 2023 estuvo dominado por </w:t>
      </w:r>
      <w:r>
        <w:rPr>
          <w:rFonts w:ascii="Cambria" w:hAnsi="Cambria"/>
          <w:b/>
          <w:bCs/>
        </w:rPr>
        <w:t xml:space="preserve">maderas tropicales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plantas ornamentales reproducidas artificialmente</w:t>
      </w:r>
      <w:r>
        <w:rPr>
          <w:rFonts w:ascii="Cambria" w:hAnsi="Cambria"/>
        </w:rPr>
        <w:t xml:space="preserve"> (cactáceas y orquídeas).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vegetal CITES presenta particularidades frente al de fauna, en especial por el peso de la </w:t>
      </w:r>
      <w:r>
        <w:rPr>
          <w:rFonts w:ascii="Cambria" w:hAnsi="Cambria"/>
          <w:b/>
          <w:bCs/>
        </w:rPr>
        <w:t xml:space="preserve">reproducción artificial</w:t>
      </w:r>
      <w:r>
        <w:rPr>
          <w:rFonts w:ascii="Cambria" w:hAnsi="Cambria"/>
        </w:rPr>
        <w:t xml:space="preserve"> como alternativa a la recolección silvestre.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por su red de viveros y su posición como frontera exterior de la UE, ocupa un lugar destacado tanto en importación de plantas ornamentales como en exportación de especímenes reproducidos artificialmente.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Corresponde a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 garantizar que este comercio se ajusta a la Convención y a la reglamentación de la UE.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29 – Especímenes de origen vegetal sujetos al Convenio sobre Comercio Internacional de Especies Amenazadas de Fauna y Flora Silvestres (CITES): Especial referencia a los de interés comercial para España (vivos, partes, derivados, manufacturas/productos).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