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sector de hortalizas frescas representa en 2025 cerca del </w:t>
      </w:r>
      <w:r>
        <w:rPr>
          <w:rFonts w:ascii="Cambria" w:hAnsi="Cambria"/>
          <w:b/>
          <w:bCs/>
        </w:rPr>
        <w:t xml:space="preserve">11,7%</w:t>
      </w:r>
      <w:r>
        <w:rPr>
          <w:rFonts w:ascii="Cambria" w:hAnsi="Cambria"/>
        </w:rPr>
        <w:t xml:space="preserve"> de las exportaciones agroalimentarias españolas, uno de los tres pilares del superávit agroalimentario junto con frutas frescas y el sector cárnico, según </w:t>
      </w:r>
      <w:r>
        <w:rPr>
          <w:rFonts w:ascii="Cambria" w:hAnsi="Cambria"/>
          <w:b/>
          <w:bCs/>
        </w:rPr>
        <w:t xml:space="preserve">DATACOMEX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Importaciones: </w:t>
      </w:r>
      <w:r>
        <w:rPr>
          <w:rFonts w:ascii="Cambria" w:hAnsi="Cambria"/>
          <w:b/>
          <w:bCs/>
        </w:rPr>
        <w:t xml:space="preserve">2.133,1 millones €</w:t>
      </w:r>
      <w:r>
        <w:rPr>
          <w:rFonts w:ascii="Cambria" w:hAnsi="Cambria"/>
        </w:rPr>
        <w:t xml:space="preserve"> (+3,4%). Exportaciones: </w:t>
      </w:r>
      <w:r>
        <w:rPr>
          <w:rFonts w:ascii="Cambria" w:hAnsi="Cambria"/>
          <w:b/>
          <w:bCs/>
        </w:rPr>
        <w:t xml:space="preserve">8.983,3 millones €</w:t>
      </w:r>
      <w:r>
        <w:rPr>
          <w:rFonts w:ascii="Cambria" w:hAnsi="Cambria"/>
        </w:rPr>
        <w:t xml:space="preserve"> (+11,5%). Saldo comercial: </w:t>
      </w:r>
      <w:r>
        <w:rPr>
          <w:rFonts w:ascii="Cambria" w:hAnsi="Cambria"/>
          <w:b/>
          <w:bCs/>
        </w:rPr>
        <w:t xml:space="preserve">6.850,3 millones €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integran en el </w:t>
      </w:r>
      <w:r>
        <w:rPr>
          <w:rFonts w:ascii="Cambria" w:hAnsi="Cambria"/>
          <w:b/>
          <w:bCs/>
        </w:rPr>
        <w:t xml:space="preserve">Plan de Internacionalización del Sector Agroalimentario</w:t>
      </w:r>
      <w:r>
        <w:rPr>
          <w:rFonts w:ascii="Cambria" w:hAnsi="Cambria"/>
        </w:rPr>
        <w:t xml:space="preserve">, a través del </w:t>
      </w:r>
      <w:r>
        <w:rPr>
          <w:rFonts w:ascii="Cambria" w:hAnsi="Cambria"/>
          <w:b/>
          <w:bCs/>
        </w:rPr>
        <w:t xml:space="preserve">GTISA</w:t>
      </w:r>
      <w:r>
        <w:rPr>
          <w:rFonts w:ascii="Cambria" w:hAnsi="Cambria"/>
        </w:rPr>
        <w:t xml:space="preserve">, presidido por la Secretaría General de Agricultura y Alimentación del </w:t>
      </w:r>
      <w:r>
        <w:rPr>
          <w:rFonts w:ascii="Cambria" w:hAnsi="Cambria"/>
          <w:b/>
          <w:bCs/>
        </w:rPr>
        <w:t xml:space="preserve">MAPA</w:t>
      </w:r>
      <w:r>
        <w:rPr>
          <w:rFonts w:ascii="Cambria" w:hAnsi="Cambria"/>
        </w:rPr>
        <w:t xml:space="preserve">, con un grupo específico de frutas y hortalizas.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DESCRIPCIÓN Y DESIGNACIÓN DE LOS PRINCIPALES PRODUCTOS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2.1. Hortalizas aprovechables por sus frutos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Tomate, pimiento y berenjena</w:t>
      </w:r>
      <w:r>
        <w:rPr>
          <w:rFonts w:ascii="Cambria" w:hAnsi="Cambria"/>
        </w:rPr>
        <w:t xml:space="preserve"> (Solanáceas): frutos en baya, con variedades según forma, color y precocidad.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Pepino y calabacín</w:t>
      </w:r>
      <w:r>
        <w:rPr>
          <w:rFonts w:ascii="Cambria" w:hAnsi="Cambria"/>
        </w:rPr>
        <w:t xml:space="preserve"> (Cucurbitáceas): bayas, con tipos según tamaño o forma del fruto.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2.2. Hortalizas aprovechables por hojas, tallos e inflorescencias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Lechuga</w:t>
      </w:r>
      <w:r>
        <w:rPr>
          <w:rFonts w:ascii="Cambria" w:hAnsi="Cambria"/>
        </w:rPr>
        <w:t xml:space="preserve">: romana, acogollada, de hoja suelta y espárrago.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Escarola</w:t>
      </w:r>
      <w:r>
        <w:rPr>
          <w:rFonts w:ascii="Cambria" w:hAnsi="Cambria"/>
        </w:rPr>
        <w:t xml:space="preserve">: crispa/rizada y lisa. </w:t>
      </w:r>
      <w:r>
        <w:rPr>
          <w:rFonts w:ascii="Cambria" w:hAnsi="Cambria"/>
          <w:b/>
          <w:bCs/>
        </w:rPr>
        <w:t xml:space="preserve">Espinaca</w:t>
      </w:r>
      <w:r>
        <w:rPr>
          <w:rFonts w:ascii="Cambria" w:hAnsi="Cambria"/>
        </w:rPr>
        <w:t xml:space="preserve">: Viroflay, Gigante de Invierno y Butterflay.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Coliflor</w:t>
      </w:r>
      <w:r>
        <w:rPr>
          <w:rFonts w:ascii="Cambria" w:hAnsi="Cambria"/>
        </w:rPr>
        <w:t xml:space="preserve">: extratempranas, tempranas, media estación y tardías.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Alcachofa</w:t>
      </w:r>
      <w:r>
        <w:rPr>
          <w:rFonts w:ascii="Cambria" w:hAnsi="Cambria"/>
        </w:rPr>
        <w:t xml:space="preserve">: españolas y francesas/italianas.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Espárrago</w:t>
      </w:r>
      <w:r>
        <w:rPr>
          <w:rFonts w:ascii="Cambria" w:hAnsi="Cambria"/>
        </w:rPr>
        <w:t xml:space="preserve">: blancos, morados, verde-morados y verdes, según exposición a la luz.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2.3. Hortalizas aprovechables por tubérculos, bulbos o raíces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Patata</w:t>
      </w:r>
      <w:r>
        <w:rPr>
          <w:rFonts w:ascii="Cambria" w:hAnsi="Cambria"/>
        </w:rPr>
        <w:t xml:space="preserve">: variedades tempranas (Claustar, Jaerla, Spunta) y de consumo (Desirée, Kennebec, Bintjé).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Cebolla</w:t>
      </w:r>
      <w:r>
        <w:rPr>
          <w:rFonts w:ascii="Cambria" w:hAnsi="Cambria"/>
        </w:rPr>
        <w:t xml:space="preserve">: tempranas, semitempranas y tardías. La variedad </w:t>
      </w:r>
      <w:r>
        <w:rPr>
          <w:rFonts w:ascii="Cambria" w:hAnsi="Cambria"/>
          <w:b/>
          <w:bCs/>
        </w:rPr>
        <w:t xml:space="preserve">Grano</w:t>
      </w:r>
      <w:r>
        <w:rPr>
          <w:rFonts w:ascii="Cambria" w:hAnsi="Cambria"/>
        </w:rPr>
        <w:t xml:space="preserve"> supone cerca del </w:t>
      </w:r>
      <w:r>
        <w:rPr>
          <w:rFonts w:ascii="Cambria" w:hAnsi="Cambria"/>
          <w:b/>
          <w:bCs/>
        </w:rPr>
        <w:t xml:space="preserve">50%</w:t>
      </w:r>
      <w:r>
        <w:rPr>
          <w:rFonts w:ascii="Cambria" w:hAnsi="Cambria"/>
        </w:rPr>
        <w:t xml:space="preserve"> de la producción española y es la más exportada.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Ajo</w:t>
      </w:r>
      <w:r>
        <w:rPr>
          <w:rFonts w:ascii="Cambria" w:hAnsi="Cambria"/>
        </w:rPr>
        <w:t xml:space="preserve">: blanco y morado. El </w:t>
      </w:r>
      <w:r>
        <w:rPr>
          <w:rFonts w:ascii="Cambria" w:hAnsi="Cambria"/>
          <w:b/>
          <w:bCs/>
        </w:rPr>
        <w:t xml:space="preserve">ajo morado</w:t>
      </w:r>
      <w:r>
        <w:rPr>
          <w:rFonts w:ascii="Cambria" w:hAnsi="Cambria"/>
        </w:rPr>
        <w:t xml:space="preserve"> representa el </w:t>
      </w:r>
      <w:r>
        <w:rPr>
          <w:rFonts w:ascii="Cambria" w:hAnsi="Cambria"/>
          <w:b/>
          <w:bCs/>
        </w:rPr>
        <w:t xml:space="preserve">75%</w:t>
      </w:r>
      <w:r>
        <w:rPr>
          <w:rFonts w:ascii="Cambria" w:hAnsi="Cambria"/>
        </w:rPr>
        <w:t xml:space="preserve"> de la producción nacional.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Zanahoria</w:t>
      </w:r>
      <w:r>
        <w:rPr>
          <w:rFonts w:ascii="Cambria" w:hAnsi="Cambria"/>
        </w:rPr>
        <w:t xml:space="preserve">: cortas, semilargas (</w:t>
      </w:r>
      <w:r>
        <w:rPr>
          <w:rFonts w:ascii="Cambria" w:hAnsi="Cambria"/>
          <w:b/>
          <w:bCs/>
        </w:rPr>
        <w:t xml:space="preserve">90%</w:t>
      </w:r>
      <w:r>
        <w:rPr>
          <w:rFonts w:ascii="Cambria" w:hAnsi="Cambria"/>
        </w:rPr>
        <w:t xml:space="preserve"> de la producción española) y largas.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FACTORES DE CALIDAD COMERCIAL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calidad comercial</w:t>
      </w:r>
      <w:r>
        <w:rPr>
          <w:rFonts w:ascii="Cambria" w:hAnsi="Cambria"/>
        </w:rPr>
        <w:t xml:space="preserve"> es el valor añadido derivado de la selección, clasificación, calibrado, acondicionamiento, envasado, almacenaje y transporte del producto.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regula en las </w:t>
      </w:r>
      <w:r>
        <w:rPr>
          <w:rFonts w:ascii="Cambria" w:hAnsi="Cambria"/>
          <w:b/>
          <w:bCs/>
        </w:rPr>
        <w:t xml:space="preserve">Normas de Comercialización de la UE</w:t>
      </w:r>
      <w:r>
        <w:rPr>
          <w:rFonts w:ascii="Cambria" w:hAnsi="Cambria"/>
        </w:rPr>
        <w:t xml:space="preserve">, actualmente el </w:t>
      </w:r>
      <w:r>
        <w:rPr>
          <w:rFonts w:ascii="Cambria" w:hAnsi="Cambria"/>
          <w:b/>
          <w:bCs/>
        </w:rPr>
        <w:t xml:space="preserve">Reglamento Delegado (UE) 2023/2429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Requisitos mínimos: productos intactos, sanos, limpios, prácticamente exentos de plagas y de daños en la pulpa, sin humedad exterior anormal ni olores o sabores extraños, y capaces de soportar transporte y manipulación.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Madurez comercial</w:t>
      </w:r>
      <w:r>
        <w:rPr>
          <w:rFonts w:ascii="Cambria" w:hAnsi="Cambria"/>
        </w:rPr>
        <w:t xml:space="preserve">: determinada por oferta y demanda. Frutos </w:t>
      </w:r>
      <w:r>
        <w:rPr>
          <w:rFonts w:ascii="Cambria" w:hAnsi="Cambria"/>
          <w:b/>
          <w:bCs/>
        </w:rPr>
        <w:t xml:space="preserve">climatéricos</w:t>
      </w:r>
      <w:r>
        <w:rPr>
          <w:rFonts w:ascii="Cambria" w:hAnsi="Cambria"/>
        </w:rPr>
        <w:t xml:space="preserve"> (maduran tras la recolección, caso del tomate) frente a </w:t>
      </w:r>
      <w:r>
        <w:rPr>
          <w:rFonts w:ascii="Cambria" w:hAnsi="Cambria"/>
          <w:b/>
          <w:bCs/>
        </w:rPr>
        <w:t xml:space="preserve">no climatéricos</w:t>
      </w:r>
      <w:r>
        <w:rPr>
          <w:rFonts w:ascii="Cambria" w:hAnsi="Cambria"/>
        </w:rPr>
        <w:t xml:space="preserve"> (la madurez comercial coincide con la gustativa, caso del pimiento y el pepino).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Índices objetivos de maduración: firmeza, color (cartas colorimétricas OCDE), sabor, almidón y azúcares (grados Brix).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sanidad vegetal</w:t>
      </w:r>
      <w:r>
        <w:rPr>
          <w:rFonts w:ascii="Cambria" w:hAnsi="Cambria"/>
        </w:rPr>
        <w:t xml:space="preserve"> exige ausencia de plagas y enfermedades, destacando mosca blanca, trips y ácaro rojo en Almería y Murcia.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salud humana</w:t>
      </w:r>
      <w:r>
        <w:rPr>
          <w:rFonts w:ascii="Cambria" w:hAnsi="Cambria"/>
        </w:rPr>
        <w:t xml:space="preserve"> exige ausencia de materias activas prohibidas y cumplimiento de los </w:t>
      </w:r>
      <w:r>
        <w:rPr>
          <w:rFonts w:ascii="Cambria" w:hAnsi="Cambria"/>
          <w:b/>
          <w:bCs/>
        </w:rPr>
        <w:t xml:space="preserve">límites máximos de residuos (LMR)</w:t>
      </w:r>
      <w:r>
        <w:rPr>
          <w:rFonts w:ascii="Cambria" w:hAnsi="Cambria"/>
        </w:rPr>
        <w:t xml:space="preserve">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NORMATIVA APLICABLE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4.1. Política Agrícola Común y OCM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Reglamento (CE) 1234/2007</w:t>
      </w:r>
      <w:r>
        <w:rPr>
          <w:rFonts w:ascii="Cambria" w:hAnsi="Cambria"/>
        </w:rPr>
        <w:t xml:space="preserve"> fue sustituido por el </w:t>
      </w:r>
      <w:r>
        <w:rPr>
          <w:rFonts w:ascii="Cambria" w:hAnsi="Cambria"/>
          <w:b/>
          <w:bCs/>
        </w:rPr>
        <w:t xml:space="preserve">Reglamento (UE) 1308/2013</w:t>
      </w:r>
      <w:r>
        <w:rPr>
          <w:rFonts w:ascii="Cambria" w:hAnsi="Cambria"/>
        </w:rPr>
        <w:t xml:space="preserve">, que crea la </w:t>
      </w:r>
      <w:r>
        <w:rPr>
          <w:rFonts w:ascii="Cambria" w:hAnsi="Cambria"/>
          <w:b/>
          <w:bCs/>
        </w:rPr>
        <w:t xml:space="preserve">OCM Única</w:t>
      </w:r>
      <w:r>
        <w:rPr>
          <w:rFonts w:ascii="Cambria" w:hAnsi="Cambria"/>
        </w:rPr>
        <w:t xml:space="preserve">, basada en la unidad de mercado, la solidaridad financiera y la preferencia comunitaria.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PAC 2023-2027 se articula mediante el </w:t>
      </w:r>
      <w:r>
        <w:rPr>
          <w:rFonts w:ascii="Cambria" w:hAnsi="Cambria"/>
          <w:b/>
          <w:bCs/>
        </w:rPr>
        <w:t xml:space="preserve">Reglamento (UE) 2021/2115</w:t>
      </w:r>
      <w:r>
        <w:rPr>
          <w:rFonts w:ascii="Cambria" w:hAnsi="Cambria"/>
        </w:rPr>
        <w:t xml:space="preserve"> (planes estratégicos financiados por FEAGA y FEADER), el </w:t>
      </w:r>
      <w:r>
        <w:rPr>
          <w:rFonts w:ascii="Cambria" w:hAnsi="Cambria"/>
          <w:b/>
          <w:bCs/>
        </w:rPr>
        <w:t xml:space="preserve">Reglamento (UE) 2021/2116</w:t>
      </w:r>
      <w:r>
        <w:rPr>
          <w:rFonts w:ascii="Cambria" w:hAnsi="Cambria"/>
        </w:rPr>
        <w:t xml:space="preserve"> (financiación y seguimiento) y el </w:t>
      </w:r>
      <w:r>
        <w:rPr>
          <w:rFonts w:ascii="Cambria" w:hAnsi="Cambria"/>
          <w:b/>
          <w:bCs/>
        </w:rPr>
        <w:t xml:space="preserve">Reglamento (UE) 2021/2117</w:t>
      </w:r>
      <w:r>
        <w:rPr>
          <w:rFonts w:ascii="Cambria" w:hAnsi="Cambria"/>
        </w:rPr>
        <w:t xml:space="preserve"> (modifica la OCM Única).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Reglamento (UE) 2017/2393 (Ómnibus)</w:t>
      </w:r>
      <w:r>
        <w:rPr>
          <w:rFonts w:ascii="Cambria" w:hAnsi="Cambria"/>
        </w:rPr>
        <w:t xml:space="preserve"> flexibilizó la definición de agricultor activo y elevó las ayudas a jóvenes agricultores hasta el </w:t>
      </w:r>
      <w:r>
        <w:rPr>
          <w:rFonts w:ascii="Cambria" w:hAnsi="Cambria"/>
          <w:b/>
          <w:bCs/>
        </w:rPr>
        <w:t xml:space="preserve">50%</w:t>
      </w:r>
      <w:r>
        <w:rPr>
          <w:rFonts w:ascii="Cambria" w:hAnsi="Cambria"/>
        </w:rPr>
        <w:t xml:space="preserve"> del pago básico.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OCM establece medidas de intervención pública, ayudas al almacenamiento privado, normas de comercialización e intercambios con terceros países.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clasificación de productos se apoya en las normas </w:t>
      </w:r>
      <w:r>
        <w:rPr>
          <w:rFonts w:ascii="Cambria" w:hAnsi="Cambria"/>
          <w:b/>
          <w:bCs/>
        </w:rPr>
        <w:t xml:space="preserve">WP7</w:t>
      </w:r>
      <w:r>
        <w:rPr>
          <w:rFonts w:ascii="Cambria" w:hAnsi="Cambria"/>
        </w:rPr>
        <w:t xml:space="preserve"> de la CEPE/UN, con el esquema del </w:t>
      </w:r>
      <w:r>
        <w:rPr>
          <w:rFonts w:ascii="Cambria" w:hAnsi="Cambria"/>
          <w:b/>
          <w:bCs/>
        </w:rPr>
        <w:t xml:space="preserve">Acuerdo de Ginebra (2015)</w:t>
      </w:r>
      <w:r>
        <w:rPr>
          <w:rFonts w:ascii="Cambria" w:hAnsi="Cambria"/>
        </w:rPr>
        <w:t xml:space="preserve">: definición, calidad, calibrado, tolerancias, presentación y marcado.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</w:t>
      </w:r>
      <w:r>
        <w:rPr>
          <w:rFonts w:ascii="Cambria" w:hAnsi="Cambria"/>
          <w:b/>
          <w:bCs/>
        </w:rPr>
        <w:t xml:space="preserve">Organizaciones de Productores</w:t>
      </w:r>
      <w:r>
        <w:rPr>
          <w:rFonts w:ascii="Cambria" w:hAnsi="Cambria"/>
        </w:rPr>
        <w:t xml:space="preserve"> e Interprofesionales defienden el sector (FRESHUELVA, FEPEX, HORTESPAÑA, COEXPHAL).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régimen de intervención lo gestionan el </w:t>
      </w:r>
      <w:r>
        <w:rPr>
          <w:rFonts w:ascii="Cambria" w:hAnsi="Cambria"/>
          <w:b/>
          <w:bCs/>
        </w:rPr>
        <w:t xml:space="preserve">FEGA</w:t>
      </w:r>
      <w:r>
        <w:rPr>
          <w:rFonts w:ascii="Cambria" w:hAnsi="Cambria"/>
        </w:rPr>
        <w:t xml:space="preserve"> y el </w:t>
      </w:r>
      <w:r>
        <w:rPr>
          <w:rFonts w:ascii="Cambria" w:hAnsi="Cambria"/>
          <w:b/>
          <w:bCs/>
        </w:rPr>
        <w:t xml:space="preserve">FEAGA</w:t>
      </w:r>
      <w:r>
        <w:rPr>
          <w:rFonts w:ascii="Cambria" w:hAnsi="Cambria"/>
        </w:rPr>
        <w:t xml:space="preserve">. La PAC sustituye el Pago Único por el </w:t>
      </w:r>
      <w:r>
        <w:rPr>
          <w:rFonts w:ascii="Cambria" w:hAnsi="Cambria"/>
          <w:b/>
          <w:bCs/>
        </w:rPr>
        <w:t xml:space="preserve">Pago Básico a la Sostenibilidad (BISS)</w:t>
      </w:r>
      <w:r>
        <w:rPr>
          <w:rFonts w:ascii="Cambria" w:hAnsi="Cambria"/>
        </w:rPr>
        <w:t xml:space="preserve">, con eco-regímenes y las </w:t>
      </w:r>
      <w:r>
        <w:rPr>
          <w:rFonts w:ascii="Cambria" w:hAnsi="Cambria"/>
          <w:b/>
          <w:bCs/>
        </w:rPr>
        <w:t xml:space="preserve">Buenas Condiciones Agrarias y Medioambientales (BCAM)</w:t>
      </w:r>
      <w:r>
        <w:rPr>
          <w:rFonts w:ascii="Cambria" w:hAnsi="Cambria"/>
        </w:rPr>
        <w:t xml:space="preserve">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4.2. Normativa voluntaria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normas </w:t>
      </w:r>
      <w:r>
        <w:rPr>
          <w:rFonts w:ascii="Cambria" w:hAnsi="Cambria"/>
          <w:b/>
          <w:bCs/>
        </w:rPr>
        <w:t xml:space="preserve">CEPE/UN (WP7)</w:t>
      </w:r>
      <w:r>
        <w:rPr>
          <w:rFonts w:ascii="Cambria" w:hAnsi="Cambria"/>
        </w:rPr>
        <w:t xml:space="preserve"> son voluntarias y sirven de base a las normas de comercialización. La OCDE elabora </w:t>
      </w:r>
      <w:r>
        <w:rPr>
          <w:rFonts w:ascii="Cambria" w:hAnsi="Cambria"/>
          <w:b/>
          <w:bCs/>
        </w:rPr>
        <w:t xml:space="preserve">folletos interpretativos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CODEX</w:t>
      </w:r>
      <w:r>
        <w:rPr>
          <w:rFonts w:ascii="Cambria" w:hAnsi="Cambria"/>
        </w:rPr>
        <w:t xml:space="preserve"> elabora normas voluntarias mundiales para proteger la salud del consumidor.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producción controlada</w:t>
      </w:r>
      <w:r>
        <w:rPr>
          <w:rFonts w:ascii="Cambria" w:hAnsi="Cambria"/>
        </w:rPr>
        <w:t xml:space="preserve"> se desarrolla mediante normas </w:t>
      </w:r>
      <w:r>
        <w:rPr>
          <w:rFonts w:ascii="Cambria" w:hAnsi="Cambria"/>
          <w:b/>
          <w:bCs/>
        </w:rPr>
        <w:t xml:space="preserve">UNE</w:t>
      </w:r>
      <w:r>
        <w:rPr>
          <w:rFonts w:ascii="Cambria" w:hAnsi="Cambria"/>
        </w:rPr>
        <w:t xml:space="preserve"> de AENOR.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producción ecológica</w:t>
      </w:r>
      <w:r>
        <w:rPr>
          <w:rFonts w:ascii="Cambria" w:hAnsi="Cambria"/>
        </w:rPr>
        <w:t xml:space="preserve"> se regula en el </w:t>
      </w:r>
      <w:r>
        <w:rPr>
          <w:rFonts w:ascii="Cambria" w:hAnsi="Cambria"/>
          <w:b/>
          <w:bCs/>
        </w:rPr>
        <w:t xml:space="preserve">Reglamento (UE) 2018/848</w:t>
      </w:r>
      <w:r>
        <w:rPr>
          <w:rFonts w:ascii="Cambria" w:hAnsi="Cambria"/>
        </w:rPr>
        <w:t xml:space="preserve">, que exige a terceros países cumplir, desde 2023, los estándares comunitarios. El </w:t>
      </w:r>
      <w:r>
        <w:rPr>
          <w:rFonts w:ascii="Cambria" w:hAnsi="Cambria"/>
          <w:b/>
          <w:bCs/>
        </w:rPr>
        <w:t xml:space="preserve">SOIVRE</w:t>
      </w:r>
      <w:r>
        <w:rPr>
          <w:rFonts w:ascii="Cambria" w:hAnsi="Cambria"/>
        </w:rPr>
        <w:t xml:space="preserve">, según la </w:t>
      </w:r>
      <w:r>
        <w:rPr>
          <w:rFonts w:ascii="Cambria" w:hAnsi="Cambria"/>
          <w:b/>
          <w:bCs/>
        </w:rPr>
        <w:t xml:space="preserve">Orden ECC/1936/2014</w:t>
      </w:r>
      <w:r>
        <w:rPr>
          <w:rFonts w:ascii="Cambria" w:hAnsi="Cambria"/>
        </w:rPr>
        <w:t xml:space="preserve">, controla su importación.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producción integrada</w:t>
      </w:r>
      <w:r>
        <w:rPr>
          <w:rFonts w:ascii="Cambria" w:hAnsi="Cambria"/>
        </w:rPr>
        <w:t xml:space="preserve"> se regula por el </w:t>
      </w:r>
      <w:r>
        <w:rPr>
          <w:rFonts w:ascii="Cambria" w:hAnsi="Cambria"/>
          <w:b/>
          <w:bCs/>
        </w:rPr>
        <w:t xml:space="preserve">Real Decreto 1201/2002</w:t>
      </w:r>
      <w:r>
        <w:rPr>
          <w:rFonts w:ascii="Cambria" w:hAnsi="Cambria"/>
        </w:rPr>
        <w:t xml:space="preserve">, con logotipo conforme a la </w:t>
      </w:r>
      <w:r>
        <w:rPr>
          <w:rFonts w:ascii="Cambria" w:hAnsi="Cambria"/>
          <w:b/>
          <w:bCs/>
        </w:rPr>
        <w:t xml:space="preserve">Orden APA/1/2004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figuras </w:t>
      </w:r>
      <w:r>
        <w:rPr>
          <w:rFonts w:ascii="Cambria" w:hAnsi="Cambria"/>
          <w:b/>
          <w:bCs/>
        </w:rPr>
        <w:t xml:space="preserve">DOP, IGP y ETG</w:t>
      </w:r>
      <w:r>
        <w:rPr>
          <w:rFonts w:ascii="Cambria" w:hAnsi="Cambria"/>
        </w:rPr>
        <w:t xml:space="preserve"> se regulan por el </w:t>
      </w:r>
      <w:r>
        <w:rPr>
          <w:rFonts w:ascii="Cambria" w:hAnsi="Cambria"/>
          <w:b/>
          <w:bCs/>
        </w:rPr>
        <w:t xml:space="preserve">Reglamento (UE) 2024/1143</w:t>
      </w:r>
      <w:r>
        <w:rPr>
          <w:rFonts w:ascii="Cambria" w:hAnsi="Cambria"/>
        </w:rPr>
        <w:t xml:space="preserve">, desarrollado por la </w:t>
      </w:r>
      <w:r>
        <w:rPr>
          <w:rFonts w:ascii="Cambria" w:hAnsi="Cambria"/>
          <w:b/>
          <w:bCs/>
        </w:rPr>
        <w:t xml:space="preserve">Ley 6/2015</w:t>
      </w:r>
      <w:r>
        <w:rPr>
          <w:rFonts w:ascii="Cambria" w:hAnsi="Cambria"/>
        </w:rPr>
        <w:t xml:space="preserve">, que atribuye a la </w:t>
      </w:r>
      <w:r>
        <w:rPr>
          <w:rFonts w:ascii="Cambria" w:hAnsi="Cambria"/>
          <w:b/>
          <w:bCs/>
        </w:rPr>
        <w:t xml:space="preserve">AICA</w:t>
      </w:r>
      <w:r>
        <w:rPr>
          <w:rFonts w:ascii="Cambria" w:hAnsi="Cambria"/>
        </w:rPr>
        <w:t xml:space="preserve"> el control de comercialización (DOP Espárrago de Navarra, IGP Ajo Morado de Las Pedroñeras).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Destacan protocolos privados como </w:t>
      </w:r>
      <w:r>
        <w:rPr>
          <w:rFonts w:ascii="Cambria" w:hAnsi="Cambria"/>
          <w:b/>
          <w:bCs/>
        </w:rPr>
        <w:t xml:space="preserve">GLOBALG.A.P.</w:t>
      </w:r>
      <w:r>
        <w:rPr>
          <w:rFonts w:ascii="Cambria" w:hAnsi="Cambria"/>
        </w:rPr>
        <w:t xml:space="preserve">, Tesco Nurture o Carrefour Quality Lines.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4.3. Normativa general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175/2004</w:t>
      </w:r>
      <w:r>
        <w:rPr>
          <w:rFonts w:ascii="Cambria" w:hAnsi="Cambria"/>
        </w:rPr>
        <w:t xml:space="preserve">, control de normas de comercialización por la Secretaría de Estado de Comercio.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(CE) 396/2005</w:t>
      </w:r>
      <w:r>
        <w:rPr>
          <w:rFonts w:ascii="Cambria" w:hAnsi="Cambria"/>
        </w:rPr>
        <w:t xml:space="preserve">, límites máximos de residuos de plaguicidas.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2023/915</w:t>
      </w:r>
      <w:r>
        <w:rPr>
          <w:rFonts w:ascii="Cambria" w:hAnsi="Cambria"/>
        </w:rPr>
        <w:t xml:space="preserve">, límites máximos de contaminantes en alimentos.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1169/2011</w:t>
      </w:r>
      <w:r>
        <w:rPr>
          <w:rFonts w:ascii="Cambria" w:hAnsi="Cambria"/>
        </w:rPr>
        <w:t xml:space="preserve">, información al consumidor y etiquetado.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1055/2022</w:t>
      </w:r>
      <w:r>
        <w:rPr>
          <w:rFonts w:ascii="Cambria" w:hAnsi="Cambria"/>
        </w:rPr>
        <w:t xml:space="preserve">, envases y residuos de envases.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Reglamentos (CE) 852/2004 y 853/2004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Reglamento (UE) 2017/625</w:t>
      </w:r>
      <w:r>
        <w:rPr>
          <w:rFonts w:ascii="Cambria" w:hAnsi="Cambria"/>
        </w:rPr>
        <w:t xml:space="preserve">, paquete de higiene y controles oficiales.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Ley 28/2015</w:t>
      </w:r>
      <w:r>
        <w:rPr>
          <w:rFonts w:ascii="Cambria" w:hAnsi="Cambria"/>
        </w:rPr>
        <w:t xml:space="preserve">, defensa de la calidad alimentaria, con régimen sancionador.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Ley 1/2025</w:t>
      </w:r>
      <w:r>
        <w:rPr>
          <w:rFonts w:ascii="Cambria" w:hAnsi="Cambria"/>
        </w:rPr>
        <w:t xml:space="preserve">, prevención de pérdidas y desperdicio alimentario.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Orden PRE/3026/2003</w:t>
      </w:r>
      <w:r>
        <w:rPr>
          <w:rFonts w:ascii="Cambria" w:hAnsi="Cambria"/>
        </w:rPr>
        <w:t xml:space="preserve">, modificada por las </w:t>
      </w:r>
      <w:r>
        <w:rPr>
          <w:rFonts w:ascii="Cambria" w:hAnsi="Cambria"/>
          <w:b/>
          <w:bCs/>
        </w:rPr>
        <w:t xml:space="preserve">Órdenes ECC/2257/2013 y ECC/2566/2015</w:t>
      </w:r>
      <w:r>
        <w:rPr>
          <w:rFonts w:ascii="Cambria" w:hAnsi="Cambria"/>
        </w:rPr>
        <w:t xml:space="preserve">, sobre inspección de calidad comercial en comercio exterior. El </w:t>
      </w:r>
      <w:r>
        <w:rPr>
          <w:rFonts w:ascii="Cambria" w:hAnsi="Cambria"/>
          <w:b/>
          <w:bCs/>
        </w:rPr>
        <w:t xml:space="preserve">SOIVRE</w:t>
      </w:r>
      <w:r>
        <w:rPr>
          <w:rFonts w:ascii="Cambria" w:hAnsi="Cambria"/>
        </w:rPr>
        <w:t xml:space="preserve"> controla legumbres, hortalizas, plantas, raíces y tubérculos.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ANÁLISIS SECTORIAL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sector hortícola español representa cerca del </w:t>
      </w:r>
      <w:r>
        <w:rPr>
          <w:rFonts w:ascii="Cambria" w:hAnsi="Cambria"/>
          <w:b/>
          <w:bCs/>
        </w:rPr>
        <w:t xml:space="preserve">5,1%</w:t>
      </w:r>
      <w:r>
        <w:rPr>
          <w:rFonts w:ascii="Cambria" w:hAnsi="Cambria"/>
        </w:rPr>
        <w:t xml:space="preserve"> de las exportaciones hortícolas de la UE. China es el principal productor mundial, seguido de India y la UE.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UE mantiene saldo deficitario en frutas y hortalizas frescas, más acusado en frutas. España, Países Bajos, Francia, Bélgica e Italia son los principales exportadores comunitarios en 2025.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España presenta superávit generalizado, salvo en </w:t>
      </w:r>
      <w:r>
        <w:rPr>
          <w:rFonts w:ascii="Cambria" w:hAnsi="Cambria"/>
          <w:b/>
          <w:bCs/>
        </w:rPr>
        <w:t xml:space="preserve">patata</w:t>
      </w:r>
      <w:r>
        <w:rPr>
          <w:rFonts w:ascii="Cambria" w:hAnsi="Cambria"/>
        </w:rPr>
        <w:t xml:space="preserve">. Principal producto exportado: </w:t>
      </w:r>
      <w:r>
        <w:rPr>
          <w:rFonts w:ascii="Cambria" w:hAnsi="Cambria"/>
          <w:b/>
          <w:bCs/>
        </w:rPr>
        <w:t xml:space="preserve">pimiento</w:t>
      </w:r>
      <w:r>
        <w:rPr>
          <w:rFonts w:ascii="Cambria" w:hAnsi="Cambria"/>
        </w:rPr>
        <w:t xml:space="preserve">, seguido de pepino, tomate y lechuga. Principal importación: patata, seguida de tomate y pimiento.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UE concentra cerca del </w:t>
      </w:r>
      <w:r>
        <w:rPr>
          <w:rFonts w:ascii="Cambria" w:hAnsi="Cambria"/>
          <w:b/>
          <w:bCs/>
        </w:rPr>
        <w:t xml:space="preserve">78%</w:t>
      </w:r>
      <w:r>
        <w:rPr>
          <w:rFonts w:ascii="Cambria" w:hAnsi="Cambria"/>
        </w:rPr>
        <w:t xml:space="preserve"> de las exportaciones españolas (Alemania, Francia, Países Bajos e Italia, en torno al </w:t>
      </w:r>
      <w:r>
        <w:rPr>
          <w:rFonts w:ascii="Cambria" w:hAnsi="Cambria"/>
          <w:b/>
          <w:bCs/>
        </w:rPr>
        <w:t xml:space="preserve">70%</w:t>
      </w:r>
      <w:r>
        <w:rPr>
          <w:rFonts w:ascii="Cambria" w:hAnsi="Cambria"/>
        </w:rPr>
        <w:t xml:space="preserve">). Fuera de la UE destaca </w:t>
      </w:r>
      <w:r>
        <w:rPr>
          <w:rFonts w:ascii="Cambria" w:hAnsi="Cambria"/>
          <w:b/>
          <w:bCs/>
        </w:rPr>
        <w:t xml:space="preserve">Reino Unido</w:t>
      </w:r>
      <w:r>
        <w:rPr>
          <w:rFonts w:ascii="Cambria" w:hAnsi="Cambria"/>
        </w:rPr>
        <w:t xml:space="preserve">. El valor exportado superó en 2025 los </w:t>
      </w:r>
      <w:r>
        <w:rPr>
          <w:rFonts w:ascii="Cambria" w:hAnsi="Cambria"/>
          <w:b/>
          <w:bCs/>
        </w:rPr>
        <w:t xml:space="preserve">9.000 millones €</w:t>
      </w:r>
      <w:r>
        <w:rPr>
          <w:rFonts w:ascii="Cambria" w:hAnsi="Cambria"/>
        </w:rPr>
        <w:t xml:space="preserve"> (+10%).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importaciones, el </w:t>
      </w:r>
      <w:r>
        <w:rPr>
          <w:rFonts w:ascii="Cambria" w:hAnsi="Cambria"/>
          <w:b/>
          <w:bCs/>
        </w:rPr>
        <w:t xml:space="preserve">49%</w:t>
      </w:r>
      <w:r>
        <w:rPr>
          <w:rFonts w:ascii="Cambria" w:hAnsi="Cambria"/>
        </w:rPr>
        <w:t xml:space="preserve"> procede de la UE (Francia, Países Bajos, Portugal), y entre terceros países destacan Marruecos, Perú, China y Estados Unidos, superando los </w:t>
      </w:r>
      <w:r>
        <w:rPr>
          <w:rFonts w:ascii="Cambria" w:hAnsi="Cambria"/>
          <w:b/>
          <w:bCs/>
        </w:rPr>
        <w:t xml:space="preserve">2.000 millones €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Principales competidores en la UE: Países Bajos, Francia, Italia y Alemania. En el Mediterráneo, Marruecos, y en América Latina, México y Argentina.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pérdida del mercado ruso desde 2014 impulsó la diversificación hacia Oriente Medio, Norteamérica y Asia.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Tras el </w:t>
      </w:r>
      <w:r>
        <w:rPr>
          <w:rFonts w:ascii="Cambria" w:hAnsi="Cambria"/>
          <w:b/>
          <w:bCs/>
        </w:rPr>
        <w:t xml:space="preserve">Brexit</w:t>
      </w:r>
      <w:r>
        <w:rPr>
          <w:rFonts w:ascii="Cambria" w:hAnsi="Cambria"/>
        </w:rPr>
        <w:t xml:space="preserve">, el acuerdo UE-Reino Unido mantiene el comercio libre de aranceles, pero con más controles fitosanitarios y costes administrativos.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Marruecos incrementa su competencia en tomate, pimiento y judía verde por menores costes y acuerdos preferenciales con la UE.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6.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España es el principal exportador de hortalizas frescas de la UE, apoyado en su especialización productiva y orientación hacia mercados comunitarios.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Acuerdo de Asociación UE-Mercosur</w:t>
      </w:r>
      <w:r>
        <w:rPr>
          <w:rFonts w:ascii="Cambria" w:hAnsi="Cambria"/>
        </w:rPr>
        <w:t xml:space="preserve"> puede intensificar la competencia al liberalizar el acceso de Argentina, Brasil, Uruguay y Paraguay, con menores costes de producción.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presión de Marruecos y de terceros países mediterráneos exige reforzar la diferenciación, la calidad y la sostenibilidad, junto con estándares equivalentes a los comunitarios.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3 – Sector de hortalizas frescas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