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Una parte importante de la labor del Servicio de Inspección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se realiza en la </w:t>
      </w:r>
      <w:r>
        <w:rPr>
          <w:rFonts w:ascii="Cambria" w:hAnsi="Cambria"/>
          <w:b/>
          <w:bCs/>
        </w:rPr>
        <w:t xml:space="preserve">Red de Laboratorios del SOIVRE</w:t>
      </w:r>
      <w:r>
        <w:rPr>
          <w:rFonts w:ascii="Cambria" w:hAnsi="Cambria"/>
        </w:rPr>
        <w:t xml:space="preserve">, algunos acreditados por la </w:t>
      </w:r>
      <w:r>
        <w:rPr>
          <w:rFonts w:ascii="Cambria" w:hAnsi="Cambria"/>
          <w:b/>
          <w:bCs/>
        </w:rPr>
        <w:t xml:space="preserve">Entidad Nacional de Acreditación (ENAC)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acreditación responde a la necesidad de ofrecer un servicio de calidad a los operadores, sobre todo exportadores. Los laboratorios SOIVRE están acreditados según la </w:t>
      </w:r>
      <w:r>
        <w:rPr>
          <w:rFonts w:ascii="Cambria" w:hAnsi="Cambria"/>
          <w:b/>
          <w:bCs/>
        </w:rPr>
        <w:t xml:space="preserve">Norma UNE-EN ISO/IEC 17025:2017</w:t>
      </w:r>
      <w:r>
        <w:rPr>
          <w:rFonts w:ascii="Cambria" w:hAnsi="Cambria"/>
        </w:rPr>
        <w:t xml:space="preserve">, que: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 la implantación de un Sistema de Gestión de la Calidad en laboratorios de ensayo y calibración.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los requisitos para demostrar la competencia en la realización de ensayos.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 es una asociación sin ánimo de lucro, declarada por el </w:t>
      </w:r>
      <w:r>
        <w:rPr>
          <w:rFonts w:ascii="Cambria" w:hAnsi="Cambria"/>
          <w:b/>
          <w:bCs/>
        </w:rPr>
        <w:t xml:space="preserve">Real Decreto 1715/2010</w:t>
      </w:r>
      <w:r>
        <w:rPr>
          <w:rFonts w:ascii="Cambria" w:hAnsi="Cambria"/>
        </w:rPr>
        <w:t xml:space="preserve"> como único organismo con potestad pública para otorgar acreditaciones conforme al </w:t>
      </w: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marca ENAC garantiza el cumplimiento de los requisitos de acreditación y su aceptación internacional, respaldada por los Acuerdos Multilaterales de Reconocimiento, suscritos por más de </w:t>
      </w:r>
      <w:r>
        <w:rPr>
          <w:rFonts w:ascii="Cambria" w:hAnsi="Cambria"/>
          <w:b/>
          <w:bCs/>
        </w:rPr>
        <w:t xml:space="preserve">120 países</w:t>
      </w:r>
      <w:r>
        <w:rPr>
          <w:rFonts w:ascii="Cambria" w:hAnsi="Cambria"/>
        </w:rPr>
        <w:t xml:space="preserve"> y gestionados por </w:t>
      </w:r>
      <w:r>
        <w:rPr>
          <w:rFonts w:ascii="Cambria" w:hAnsi="Cambria"/>
          <w:b/>
          <w:bCs/>
        </w:rPr>
        <w:t xml:space="preserve">EA</w:t>
      </w:r>
      <w:r>
        <w:rPr>
          <w:rFonts w:ascii="Cambria" w:hAnsi="Cambria"/>
        </w:rPr>
        <w:t xml:space="preserve"> (European Cooperation for Accreditation) y </w:t>
      </w:r>
      <w:r>
        <w:rPr>
          <w:rFonts w:ascii="Cambria" w:hAnsi="Cambria"/>
          <w:b/>
          <w:bCs/>
        </w:rPr>
        <w:t xml:space="preserve">Global Accreditation Cooperation Incorporated (Global ACI)</w:t>
      </w:r>
      <w:r>
        <w:rPr>
          <w:rFonts w:ascii="Cambria" w:hAnsi="Cambria"/>
        </w:rPr>
        <w:t xml:space="preserve">, resultante desde el 1 de enero de 2026 de la fusión de ILAC e IAF.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Red de Laboratorios SOIVRE cuenta con </w:t>
      </w:r>
      <w:r>
        <w:rPr>
          <w:rFonts w:ascii="Cambria" w:hAnsi="Cambria"/>
          <w:b/>
          <w:bCs/>
        </w:rPr>
        <w:t xml:space="preserve">16 laboratorios de ensayo periféricos</w:t>
      </w:r>
      <w:r>
        <w:rPr>
          <w:rFonts w:ascii="Cambria" w:hAnsi="Cambria"/>
        </w:rPr>
        <w:t xml:space="preserve"> (Pontevedra, Bizkaia, Navarra, Girona, Barcelona, Valencia, Alicante, Murcia, Almería, Málaga, Sevilla, Cádiz, Huelva, Santa Cruz de Tenerife, Las Palmas y Madrid) y un </w:t>
      </w:r>
      <w:r>
        <w:rPr>
          <w:rFonts w:ascii="Cambria" w:hAnsi="Cambria"/>
          <w:b/>
          <w:bCs/>
        </w:rPr>
        <w:t xml:space="preserve">Laboratorio Central en Madrid</w:t>
      </w:r>
      <w:r>
        <w:rPr>
          <w:rFonts w:ascii="Cambria" w:hAnsi="Cambria"/>
        </w:rPr>
        <w:t xml:space="preserve">, todos encuadrados en la Subdirección General de Inspección, Certificación y Asistencia Técnica de Comercio Exterior.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Laboratorio Central SOIVRE</w:t>
      </w:r>
      <w:r>
        <w:rPr>
          <w:rFonts w:ascii="Cambria" w:hAnsi="Cambria"/>
        </w:rPr>
        <w:t xml:space="preserve"> (Centro Analítico de Inspección y Control de la Calidad del Comercio Exterior), creado en </w:t>
      </w:r>
      <w:r>
        <w:rPr>
          <w:rFonts w:ascii="Cambria" w:hAnsi="Cambria"/>
          <w:b/>
          <w:bCs/>
        </w:rPr>
        <w:t xml:space="preserve">1989</w:t>
      </w:r>
      <w:r>
        <w:rPr>
          <w:rFonts w:ascii="Cambria" w:hAnsi="Cambria"/>
        </w:rPr>
        <w:t xml:space="preserve">, coordina la red periférica, gestiona aplicaciones informáticas y adquisiciones, asesora sobre reactivos y calibración, desarrolla metodologías, da soporte analítico, organiza intercomparaciones, coordina la acreditación y la formación, y asesora en seguridad.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objetivo de un laboratorio analítico es producir datos de alta calidad mediante un </w:t>
      </w:r>
      <w:r>
        <w:rPr>
          <w:rFonts w:ascii="Cambria" w:hAnsi="Cambria"/>
          <w:b/>
          <w:bCs/>
        </w:rPr>
        <w:t xml:space="preserve">control de calidad</w:t>
      </w:r>
      <w:r>
        <w:rPr>
          <w:rFonts w:ascii="Cambria" w:hAnsi="Cambria"/>
        </w:rPr>
        <w:t xml:space="preserve"> planificado y documentado, entendido como el conjunto de medidas para conservar la fiabilidad de un método analítico. Se distinguen: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Control interno o intralaboratorio</w:t>
      </w:r>
      <w:r>
        <w:rPr>
          <w:rFonts w:ascii="Cambria" w:hAnsi="Cambria"/>
        </w:rPr>
        <w:t xml:space="preserve">: evalúa diariamente la fiabilidad de las determinaciones rutinarias, con tres fases: preanalítica (toma de muestras), analítica (validación de métodos y gráficos de control) y postanalítica (procesamiento estadístico y archivo).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Control externo o interlaboratorio</w:t>
      </w:r>
      <w:r>
        <w:rPr>
          <w:rFonts w:ascii="Cambria" w:hAnsi="Cambria"/>
        </w:rPr>
        <w:t xml:space="preserve">: participación en ensayos de intercomparación.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VALIDACIÓN DE MÉTODOS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Validación</w:t>
      </w:r>
      <w:r>
        <w:rPr>
          <w:rFonts w:ascii="Cambria" w:hAnsi="Cambria"/>
        </w:rPr>
        <w:t xml:space="preserve">: obtención de pruebas documentadas de que un método analítico es fiable, produce resultados con incertidumbre adecuada al uso previsto y sin errores sistemáticos.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 método debe validarse cuando: se desarrolla uno nuevo, se revisa uno establecido, se amplía o modifica un método normalizado, el control de calidad indica que cambia con el tiempo, se usa en otro laboratorio o se compara con otro método.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Fases de la validación: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Protocolo de validación</w:t>
      </w:r>
      <w:r>
        <w:rPr>
          <w:rFonts w:ascii="Cambria" w:hAnsi="Cambria"/>
        </w:rPr>
        <w:t xml:space="preserve">: define el sistema, los parámetros a validar y los criterios de aceptación.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Realización de la validación</w:t>
      </w:r>
      <w:r>
        <w:rPr>
          <w:rFonts w:ascii="Cambria" w:hAnsi="Cambria"/>
        </w:rPr>
        <w:t xml:space="preserve">: ejecución del método, recogiendo los datos primarios.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Evaluación de resultados</w:t>
      </w:r>
      <w:r>
        <w:rPr>
          <w:rFonts w:ascii="Cambria" w:hAnsi="Cambria"/>
        </w:rPr>
        <w:t xml:space="preserve">: conforme a los límites recogidos en el </w:t>
      </w:r>
      <w:r>
        <w:rPr>
          <w:rFonts w:ascii="Cambria" w:hAnsi="Cambria"/>
          <w:b/>
          <w:bCs/>
        </w:rPr>
        <w:t xml:space="preserve">Procedimiento Normalizado de Trabajo (PNT)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Informes técnicos</w:t>
      </w:r>
      <w:r>
        <w:rPr>
          <w:rFonts w:ascii="Cambria" w:hAnsi="Cambria"/>
        </w:rPr>
        <w:t xml:space="preserve">: referencias de calibración, método definitivo, resultados y criterios de aceptación.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Emisión del certificado de validación</w:t>
      </w:r>
      <w:r>
        <w:rPr>
          <w:rFonts w:ascii="Cambria" w:hAnsi="Cambria"/>
        </w:rPr>
        <w:t xml:space="preserve">: firmado por el Jefe de Servicio (grupo A1) o el Jefe de Sección de Laboratorio (grupo A2).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Archivo</w:t>
      </w:r>
      <w:r>
        <w:rPr>
          <w:rFonts w:ascii="Cambria" w:hAnsi="Cambria"/>
        </w:rPr>
        <w:t xml:space="preserve"> de toda la documentación generada.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revalidación</w:t>
      </w:r>
      <w:r>
        <w:rPr>
          <w:rFonts w:ascii="Cambria" w:hAnsi="Cambria"/>
        </w:rPr>
        <w:t xml:space="preserve"> (total o parcial) procede cuando se introduce un cambio significativo en las condiciones originales o cuando el método lleva largo tiempo en uso.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Criterios fundamentales de validación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métodos deben presentar características de: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Fiabilidad</w:t>
      </w:r>
      <w:r>
        <w:rPr>
          <w:rFonts w:ascii="Cambria" w:hAnsi="Cambria"/>
        </w:rPr>
        <w:t xml:space="preserve">: proporcionalidad concentración-respuesta (linealidad, sensibilidad), dispersión de resultados (precisión, repetibilidad, reproducibilidad, robustez), diferencia con el valor verdadero (exactitud, recuperación), cantidad mínima de analito detectable (límite de detección y cuantificación) y capacidad de discriminar interferencias (selectividad, especificidad).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Practicabilidad</w:t>
      </w:r>
      <w:r>
        <w:rPr>
          <w:rFonts w:ascii="Cambria" w:hAnsi="Cambria"/>
        </w:rPr>
        <w:t xml:space="preserve">: tiempo, coste, tamaño de muestra, cualificación del personal, seguridad y equipo.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Idoneidad</w:t>
      </w:r>
      <w:r>
        <w:rPr>
          <w:rFonts w:ascii="Cambria" w:hAnsi="Cambria"/>
        </w:rPr>
        <w:t xml:space="preserve">: verificación del buen funcionamiento de los instrumentos en el momento del análisis.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Exactitud</w:t>
      </w:r>
      <w:r>
        <w:rPr>
          <w:rFonts w:ascii="Cambria" w:hAnsi="Cambria"/>
        </w:rPr>
        <w:t xml:space="preserve">: concordancia entre el resultado experimental y el valor de referencia. El valor de referencia puede provenir de un material de referencia certificado, un método alternativo, un ensayo de intercomparación o el método de adiciones. Se calcula estadísticamente (test t de Student) o matemáticamente (porcentaje de recuperación).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Precisión</w:t>
      </w:r>
      <w:r>
        <w:rPr>
          <w:rFonts w:ascii="Cambria" w:hAnsi="Cambria"/>
        </w:rPr>
        <w:t xml:space="preserve">: concordancia entre resultados repetidos en las mismas condiciones (</w:t>
      </w:r>
      <w:r>
        <w:rPr>
          <w:rFonts w:ascii="Cambria" w:hAnsi="Cambria"/>
          <w:b/>
          <w:bCs/>
        </w:rPr>
        <w:t xml:space="preserve">repetibilidad</w:t>
      </w:r>
      <w:r>
        <w:rPr>
          <w:rFonts w:ascii="Cambria" w:hAnsi="Cambria"/>
        </w:rPr>
        <w:t xml:space="preserve">) o en condiciones modificadas (</w:t>
      </w:r>
      <w:r>
        <w:rPr>
          <w:rFonts w:ascii="Cambria" w:hAnsi="Cambria"/>
          <w:b/>
          <w:bCs/>
        </w:rPr>
        <w:t xml:space="preserve">reproducibilidad</w:t>
      </w:r>
      <w:r>
        <w:rPr>
          <w:rFonts w:ascii="Cambria" w:hAnsi="Cambria"/>
        </w:rPr>
        <w:t xml:space="preserve">). Se considera aceptable si la diferencia entre ambas es inferior al 10 %, dudosa entre el 10 % y el 30 %, e inaceptable por encima del 30 %. También se expresa como coeficiente de variación.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Linealidad y proporcionalidad</w:t>
      </w:r>
      <w:r>
        <w:rPr>
          <w:rFonts w:ascii="Cambria" w:hAnsi="Cambria"/>
        </w:rPr>
        <w:t xml:space="preserve">: capacidad de obtener resultados proporcionales a la concentración de analito. Se estudia con patrones de concentración creciente (entre 3 y 10), analizados por duplicado o triplicado, mediante curva de calibrado ajustada por mínimos cuadrados y tratamiento estadístico del coeficiente de correlación.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Sensibilidad</w:t>
      </w:r>
      <w:r>
        <w:rPr>
          <w:rFonts w:ascii="Cambria" w:hAnsi="Cambria"/>
        </w:rPr>
        <w:t xml:space="preserve">: capacidad de registrar variaciones de concentración. Se distingue entre sensibilidad de calibrado (pendiente de la recta) y sensibilidad analítica (sensibilidad de calibrado dividida por la desviación estándar).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Límite de detección</w:t>
      </w:r>
      <w:r>
        <w:rPr>
          <w:rFonts w:ascii="Cambria" w:hAnsi="Cambria"/>
        </w:rPr>
        <w:t xml:space="preserve">: menor concentración detectable, aunque no cuantificable, equivalente a la respuesta media del blanco más 3 desviaciones típicas.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Límite de cuantificación</w:t>
      </w:r>
      <w:r>
        <w:rPr>
          <w:rFonts w:ascii="Cambria" w:hAnsi="Cambria"/>
        </w:rPr>
        <w:t xml:space="preserve">: menor concentración determinable con precisión y exactitud aceptables, siempre mayor que el límite de detección.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Selectividad</w:t>
      </w:r>
      <w:r>
        <w:rPr>
          <w:rFonts w:ascii="Cambria" w:hAnsi="Cambria"/>
        </w:rPr>
        <w:t xml:space="preserve">: capacidad de dar resultados correctos en presencia de otros componentes de la matriz. Un método perfectamente selectivo se denomina </w:t>
      </w:r>
      <w:r>
        <w:rPr>
          <w:rFonts w:ascii="Cambria" w:hAnsi="Cambria"/>
          <w:b/>
          <w:bCs/>
        </w:rPr>
        <w:t xml:space="preserve">específico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CÁLCULO DE LA INCERTIDUMBRE DEL MÉTODO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Incertidumbre</w:t>
      </w:r>
      <w:r>
        <w:rPr>
          <w:rFonts w:ascii="Cambria" w:hAnsi="Cambria"/>
        </w:rPr>
        <w:t xml:space="preserve">: estimación asociada al resultado de un ensayo que caracteriza el intervalo de valores en el que se espera esté el valor verdadero, expresada como Valor +/- Incertidumbre.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Tipos de errores: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Errores aleatorios o tipo A</w:t>
      </w:r>
      <w:r>
        <w:rPr>
          <w:rFonts w:ascii="Cambria" w:hAnsi="Cambria"/>
        </w:rPr>
        <w:t xml:space="preserve">: producidos por causas accidentales, relacionados con la precisión.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Errores sistemáticos o tipo B</w:t>
      </w:r>
      <w:r>
        <w:rPr>
          <w:rFonts w:ascii="Cambria" w:hAnsi="Cambria"/>
        </w:rPr>
        <w:t xml:space="preserve">: relacionados con la exactitud, por imperfecciones del método, equipos o malas prácticas.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Estimación de errores tipo A</w:t>
      </w:r>
      <w:r>
        <w:rPr>
          <w:rFonts w:ascii="Cambria" w:hAnsi="Cambria"/>
        </w:rPr>
        <w:t xml:space="preserve">: se basa en los resultados de la validación. Si no se conoce el modelo de distribución y el número de repeticiones es inferior a 10, se emplea el Factor de Wecc (chi-cuadrado). Si la distribución es normal, se emplea la t de Student.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Estimación de errores tipo B</w:t>
      </w:r>
      <w:r>
        <w:rPr>
          <w:rFonts w:ascii="Cambria" w:hAnsi="Cambria"/>
        </w:rPr>
        <w:t xml:space="preserve">: se dispone de un único valor, procedente de una única medida, de la experiencia o de un certificado de calibración.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Cálculo de la incertidumbre combinada</w:t>
      </w:r>
      <w:r>
        <w:rPr>
          <w:rFonts w:ascii="Cambria" w:hAnsi="Cambria"/>
        </w:rPr>
        <w:t xml:space="preserve">: requiere estimar la varianza de cada variable, mediante conocimiento de la distribución poblacional, mediante una distribución rectangular si solo se conoce el intervalo máximo de variación, o importando el dato de un certificado de calibración (dividiendo la incertidumbre expandida entre el factor de seguridad K).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incertidumbre combinada se calcula por el </w:t>
      </w:r>
      <w:r>
        <w:rPr>
          <w:rFonts w:ascii="Cambria" w:hAnsi="Cambria"/>
          <w:b/>
          <w:bCs/>
        </w:rPr>
        <w:t xml:space="preserve">método de propagación de varianzas</w:t>
      </w:r>
      <w:r>
        <w:rPr>
          <w:rFonts w:ascii="Cambria" w:hAnsi="Cambria"/>
        </w:rPr>
        <w:t xml:space="preserve"> (magnitudes independientes, raíz cuadrática) o por el sistema de derivadas parciales.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incertidumbre expandida</w:t>
      </w:r>
      <w:r>
        <w:rPr>
          <w:rFonts w:ascii="Cambria" w:hAnsi="Cambria"/>
        </w:rPr>
        <w:t xml:space="preserve"> se obtiene como raíz cuadrada de la suma cuadrática de las contribuciones A y B, aplicando un factor de seguridad K entre 2 y 3, que da niveles de confianza del 95 % y del 99 %, respectivamente.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COMPARACIÓN DE MÉTODOS ANALÍTICOS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Método de las adiciones</w:t>
      </w:r>
      <w:r>
        <w:rPr>
          <w:rFonts w:ascii="Cambria" w:hAnsi="Cambria"/>
        </w:rPr>
        <w:t xml:space="preserve">: compara los resultados de una muestra con posibles interferencias frente a otra sin ellas, mediante el test t de Student.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Método de confirmación</w:t>
      </w:r>
      <w:r>
        <w:rPr>
          <w:rFonts w:ascii="Cambria" w:hAnsi="Cambria"/>
        </w:rPr>
        <w:t xml:space="preserve">: compara los resultados de dos métodos aplicados repetidamente sobre la misma muestra, para detectar errores sistemáticos. Se obtienen dos conjuntos de resultados cuyas medias se comparan con un test t de Student, previa comprobación de la igualdad de varianzas mediante un test de Levene con el estadígrafo F de Fisher. Si las diferencias no son significativas, el nuevo método no presenta sesgo respecto al de referencia.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validación de métodos analíticos permite al SOIVRE acreditar documentalmente que sus procedimientos son aptos para el fin previsto, aportando seguridad jurídica y técnica en el comercio exterior, donde los resultados analíticos pueden condicionar la admisión o el rechazo de una partida.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conocimiento riguroso de la exactitud, la precisión, la linealidad, la sensibilidad, los límites de detección y cuantificación, la selectividad y la especificidad, junto con el cálculo de la incertidumbre, dota al inspector de los elementos técnicos para defender la solidez de un resultado analítico.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 método no validado no puede considerarse una herramienta fiable de control oficial, por avanzada que sea la instrumentación empleada.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34 – Validación de métodos. Criterios fundamentales de validación. Exactitud. Precisión. Linealidad. Sensibilidad. Límites de detección. Límites de cuantificación. Selectividad y Especificidad. Cálculo de la incertidumbre de un método. Comparación de métodos analíticos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