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Servicio de Inspección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desarrolla buena parte de su labor en la </w:t>
      </w: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algunos acreditados por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laboratorios están acreditados según la norma </w:t>
      </w:r>
      <w:r>
        <w:rPr>
          <w:rFonts w:ascii="Cambria" w:hAnsi="Cambria"/>
          <w:b/>
          <w:bCs/>
        </w:rPr>
        <w:t xml:space="preserve">UNE-EN ISO/IEC 17025:2017</w:t>
      </w:r>
      <w:r>
        <w:rPr>
          <w:rFonts w:ascii="Cambria" w:hAnsi="Cambria"/>
        </w:rPr>
        <w:t xml:space="preserve">, que: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 la implantación de un Sistema de Gestión de la Calidad en laboratorios de ensayo y calibración.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los requisitos para demostrar la competencia en la realización de ensayos.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una asociación sin ánimo de lucro declarada, según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, único organismo con potestad pública para otorgar acreditaciones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marca ENAC declara públicamente el cumplimiento de los requisitos de acreditación y garantiza su aceptación internacional.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Marcas de ENAC (Ensayos, Inspección, Calibración, Verificación Medioambiental, Certificación, Inter-comparaciones, Verificación de emisiones) se respaldan en los </w:t>
      </w:r>
      <w:r>
        <w:rPr>
          <w:rFonts w:ascii="Cambria" w:hAnsi="Cambria"/>
          <w:b/>
          <w:bCs/>
        </w:rPr>
        <w:t xml:space="preserve">Acuerdos Multilaterales de Reconocimiento</w:t>
      </w:r>
      <w:r>
        <w:rPr>
          <w:rFonts w:ascii="Cambria" w:hAnsi="Cambria"/>
        </w:rPr>
        <w:t xml:space="preserve">, suscritos por más de </w:t>
      </w:r>
      <w:r>
        <w:rPr>
          <w:rFonts w:ascii="Cambria" w:hAnsi="Cambria"/>
          <w:b/>
          <w:bCs/>
        </w:rPr>
        <w:t xml:space="preserve">120 países</w:t>
      </w:r>
      <w:r>
        <w:rPr>
          <w:rFonts w:ascii="Cambria" w:hAnsi="Cambria"/>
        </w:rPr>
        <w:t xml:space="preserve">, gestionados por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(European Cooperation for Accreditation) y </w:t>
      </w:r>
      <w:r>
        <w:rPr>
          <w:rFonts w:ascii="Cambria" w:hAnsi="Cambria"/>
          <w:b/>
          <w:bCs/>
        </w:rPr>
        <w:t xml:space="preserve">Global ACI</w:t>
      </w:r>
      <w:r>
        <w:rPr>
          <w:rFonts w:ascii="Cambria" w:hAnsi="Cambria"/>
        </w:rPr>
        <w:t xml:space="preserve"> (Global Accreditation Cooperation Incorporated), resultante desde el 1 de enero de 2026 de la fusión de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periférica cuenta con </w:t>
      </w:r>
      <w:r>
        <w:rPr>
          <w:rFonts w:ascii="Cambria" w:hAnsi="Cambria"/>
          <w:b/>
          <w:bCs/>
        </w:rPr>
        <w:t xml:space="preserve">16 laboratorios de ensayo</w:t>
      </w:r>
      <w:r>
        <w:rPr>
          <w:rFonts w:ascii="Cambria" w:hAnsi="Cambria"/>
        </w:rPr>
        <w:t xml:space="preserve">: Pontevedra (Vigo), Bizkaia (Bilbao), Navarra (Pamplona), Girona (Figueras), Barcelona, Valencia, Alicante, Murcia, Almería, Málaga, Sevilla, Cádiz (Algeciras), Huelva, Santa Cruz de Tenerife, Las Palmas de Gran Canaria y Madrid (Barajas), más un </w:t>
      </w:r>
      <w:r>
        <w:rPr>
          <w:rFonts w:ascii="Cambria" w:hAnsi="Cambria"/>
          <w:b/>
          <w:bCs/>
        </w:rPr>
        <w:t xml:space="preserve">Laboratorio Central en Madrid</w:t>
      </w:r>
      <w:r>
        <w:rPr>
          <w:rFonts w:ascii="Cambria" w:hAnsi="Cambria"/>
        </w:rPr>
        <w:t xml:space="preserve">, todos ellos adscritos a la Subdirección General de Inspección, Certificación y Asistencia Técnica de Comercio Exterior.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observa una progresiva especialización de cada laboratorio en un campo determinado.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SOIVRE</w:t>
      </w:r>
      <w:r>
        <w:rPr>
          <w:rFonts w:ascii="Cambria" w:hAnsi="Cambria"/>
        </w:rPr>
        <w:t xml:space="preserve"> (Centro Analítico de Inspección y Control de la Calidad del Comercio Exterior), 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, entre otras funciones: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Coordina y armoniza la red periférica y sus aplicaciones informáticas.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Planifica adquisiciones de material instrumental y asesora sobre reactivos y calibración.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Pone a punto nuevas metodologías y da soporte analítico.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Organiza ejercicios de intercomparación y coordina el programa de acreditación.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Realiza actividades formativas, apoyo documental y asesoramiento en seguridad.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 analítico se divide en: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Interno o intralaboratorio</w:t>
      </w:r>
      <w:r>
        <w:rPr>
          <w:rFonts w:ascii="Cambria" w:hAnsi="Cambria"/>
        </w:rPr>
        <w:t xml:space="preserve">: evaluación diaria de la fiabilidad de las determinaciones rutinarias, con tres fases: </w:t>
      </w:r>
      <w:r>
        <w:rPr>
          <w:rFonts w:ascii="Cambria" w:hAnsi="Cambria"/>
          <w:b/>
          <w:bCs/>
        </w:rPr>
        <w:t xml:space="preserve">preanalítica</w:t>
      </w:r>
      <w:r>
        <w:rPr>
          <w:rFonts w:ascii="Cambria" w:hAnsi="Cambria"/>
        </w:rPr>
        <w:t xml:space="preserve"> (toma y tratamiento de muestras), </w:t>
      </w:r>
      <w:r>
        <w:rPr>
          <w:rFonts w:ascii="Cambria" w:hAnsi="Cambria"/>
          <w:b/>
          <w:bCs/>
        </w:rPr>
        <w:t xml:space="preserve">analítica</w:t>
      </w:r>
      <w:r>
        <w:rPr>
          <w:rFonts w:ascii="Cambria" w:hAnsi="Cambria"/>
        </w:rPr>
        <w:t xml:space="preserve"> (validación de métodos, muestras de control, gráficos de control) y </w:t>
      </w:r>
      <w:r>
        <w:rPr>
          <w:rFonts w:ascii="Cambria" w:hAnsi="Cambria"/>
          <w:b/>
          <w:bCs/>
        </w:rPr>
        <w:t xml:space="preserve">postanalítica</w:t>
      </w:r>
      <w:r>
        <w:rPr>
          <w:rFonts w:ascii="Cambria" w:hAnsi="Cambria"/>
        </w:rPr>
        <w:t xml:space="preserve"> (procesamiento estadístico y archivo).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Externo o interlaboratorio</w:t>
      </w:r>
      <w:r>
        <w:rPr>
          <w:rFonts w:ascii="Cambria" w:hAnsi="Cambria"/>
        </w:rPr>
        <w:t xml:space="preserve">: participación en pruebas de intercomparación.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TÉCNICAS DE PREPARACIÓN DE MUESTRAS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mayoría de las muestras alimentarias son demasiado complejas, diluidas o incompatibles con el sistema cromatográfico, por lo que requieren preparación previa, teniendo en cuenta: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Evitar pérdidas de analito y contaminaciones.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Transformar el analito en la forma química adecuada al método.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Eliminar interferencias de la matriz para aumentar la selectividad.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Considerar la dilución o preconcentración según el intervalo de linealidad del método.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Disoluciones químicas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distinguen tres procedimientos según la naturaleza de la muestra: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Reactivos acuosos</w:t>
      </w:r>
      <w:r>
        <w:rPr>
          <w:rFonts w:ascii="Cambria" w:hAnsi="Cambria"/>
        </w:rPr>
        <w:t xml:space="preserve">: agua, ácidos minerales, amoníaco e hidróxidos alcalinos, con un orden de fuerza de ataque creciente hasta el agua regia (HCl:HNO3, 3:1).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Sólidos fundentes</w:t>
      </w:r>
      <w:r>
        <w:rPr>
          <w:rFonts w:ascii="Cambria" w:hAnsi="Cambria"/>
        </w:rPr>
        <w:t xml:space="preserve">: para sustancias resistentes (silicatos, óxidos minerales, aleaciones de hierro), fundidas a </w:t>
      </w:r>
      <w:r>
        <w:rPr>
          <w:rFonts w:ascii="Cambria" w:hAnsi="Cambria"/>
          <w:b/>
          <w:bCs/>
        </w:rPr>
        <w:t xml:space="preserve">300-1.000 ºC</w:t>
      </w:r>
      <w:r>
        <w:rPr>
          <w:rFonts w:ascii="Cambria" w:hAnsi="Cambria"/>
        </w:rPr>
        <w:t xml:space="preserve">. Los fundentes básicos (carbonato sódico) atacan materiales ácidos y los ácidos (pirosulfato potásico) materiales básicos.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Descomposición de compuestos orgánicos</w:t>
      </w:r>
      <w:r>
        <w:rPr>
          <w:rFonts w:ascii="Cambria" w:hAnsi="Cambria"/>
        </w:rPr>
        <w:t xml:space="preserve">: destruye la materia orgánica para el análisis elemental (oxidación a CO2 y H2O) o para eliminar interferencias en el análisis aplicado.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procedimientos oxidantes se agrupan en: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Mineralización por vía húmeda</w:t>
      </w:r>
      <w:r>
        <w:rPr>
          <w:rFonts w:ascii="Cambria" w:hAnsi="Cambria"/>
        </w:rPr>
        <w:t xml:space="preserve">: con ácidos sulfúrico, nítrico y perclórico. Evita generación de cenizas, aunque hay riesgo de pérdidas por volatilización. Ejemplo: </w:t>
      </w:r>
      <w:r>
        <w:rPr>
          <w:rFonts w:ascii="Cambria" w:hAnsi="Cambria"/>
          <w:b/>
          <w:bCs/>
        </w:rPr>
        <w:t xml:space="preserve">método Kjeldahl</w:t>
      </w:r>
      <w:r>
        <w:rPr>
          <w:rFonts w:ascii="Cambria" w:hAnsi="Cambria"/>
        </w:rPr>
        <w:t xml:space="preserve"> para determinación de nitrógeno o proteínas.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Modalidades: </w:t>
      </w:r>
      <w:r>
        <w:rPr>
          <w:rFonts w:ascii="Cambria" w:hAnsi="Cambria"/>
          <w:b/>
          <w:bCs/>
        </w:rPr>
        <w:t xml:space="preserve">alta presión</w:t>
      </w:r>
      <w:r>
        <w:rPr>
          <w:rFonts w:ascii="Cambria" w:hAnsi="Cambria"/>
        </w:rPr>
        <w:t xml:space="preserve"> (recipiente de cuarzo en autoclave hasta 100 atm, 250-300 ºC, oxidación en 15-120 minutos) y </w:t>
      </w:r>
      <w:r>
        <w:rPr>
          <w:rFonts w:ascii="Cambria" w:hAnsi="Cambria"/>
          <w:b/>
          <w:bCs/>
        </w:rPr>
        <w:t xml:space="preserve">con microondas</w:t>
      </w:r>
      <w:r>
        <w:rPr>
          <w:rFonts w:ascii="Cambria" w:hAnsi="Cambria"/>
        </w:rPr>
        <w:t xml:space="preserve"> (recipientes herméticos de teflón, más rápida y con menor consumo de reactivo).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Mineralización por vía seca</w:t>
      </w:r>
      <w:r>
        <w:rPr>
          <w:rFonts w:ascii="Cambria" w:hAnsi="Cambria"/>
        </w:rPr>
        <w:t xml:space="preserve">: calcinación de la muestra hasta oxidar la materia carbonosa a CO2. Es el método más sencillo pero menos fiable por pérdida de metales volátiles. Ejemplos: determinación de calcio en vinos y de metales pesados en peces.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Método de tubos de combustión</w:t>
      </w:r>
      <w:r>
        <w:rPr>
          <w:rFonts w:ascii="Cambria" w:hAnsi="Cambria"/>
        </w:rPr>
        <w:t xml:space="preserve">: recoge cuantitativamente componentes volátiles (C, H2, N2, halógenos, S, O2) mediante corriente de O2.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Combustión con oxígeno en recipiente cerrado</w:t>
      </w:r>
      <w:r>
        <w:rPr>
          <w:rFonts w:ascii="Cambria" w:hAnsi="Cambria"/>
        </w:rPr>
        <w:t xml:space="preserve">: mediante el aparato </w:t>
      </w:r>
      <w:r>
        <w:rPr>
          <w:rFonts w:ascii="Cambria" w:hAnsi="Cambria"/>
          <w:b/>
          <w:bCs/>
        </w:rPr>
        <w:t xml:space="preserve">Schöniger</w:t>
      </w:r>
      <w:r>
        <w:rPr>
          <w:rFonts w:ascii="Cambria" w:hAnsi="Cambria"/>
        </w:rPr>
        <w:t xml:space="preserve">, aplicado a la determinación de halógenos, S, P, F, As, B, C y metales.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Extracción y precipitaciones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interferencias impiden el análisis directo. Se eliminan mediante: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Enmascaramiento en la propia disolución.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Separación del analito (la cromatografía es la técnica más eficaz, junto a precipitación, extracción con disolventes, intercambio iónico y destilación).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Precipitaciones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Requieren grandes diferencias de solubilidad entre analito e interferencias. Tipos: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de acidez</w:t>
      </w:r>
      <w:r>
        <w:rPr>
          <w:rFonts w:ascii="Cambria" w:hAnsi="Cambria"/>
        </w:rPr>
        <w:t xml:space="preserve">: en ácidos fuertes concentrados (Sn IV, Sb V), en pH tamponado intermedio (Fe III, Cr III, Al III) o en hidróxido sódico o potásico concentrado (Fe III y cationes bivalentes).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Separación de sulfuros</w:t>
      </w:r>
      <w:r>
        <w:rPr>
          <w:rFonts w:ascii="Cambria" w:hAnsi="Cambria"/>
        </w:rPr>
        <w:t xml:space="preserve">, controlando el pH.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Precipitantes inorgánicos</w:t>
      </w:r>
      <w:r>
        <w:rPr>
          <w:rFonts w:ascii="Cambria" w:hAnsi="Cambria"/>
        </w:rPr>
        <w:t xml:space="preserve"> (fosfato, carbonato, oxalato) y más selectivos (cloruro para Ag, sulfato para Pb y Ba).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Precipitantes orgánicos</w:t>
      </w:r>
      <w:r>
        <w:rPr>
          <w:rFonts w:ascii="Cambria" w:hAnsi="Cambria"/>
        </w:rPr>
        <w:t xml:space="preserve"> (8-hidroxiquinoleína, dimetilglioxima).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Constituyentes en trazas</w:t>
      </w:r>
      <w:r>
        <w:rPr>
          <w:rFonts w:ascii="Cambria" w:hAnsi="Cambria"/>
        </w:rPr>
        <w:t xml:space="preserve">, mediante colectores.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Precipitación electrolítica</w:t>
      </w:r>
      <w:r>
        <w:rPr>
          <w:rFonts w:ascii="Cambria" w:hAnsi="Cambria"/>
        </w:rPr>
        <w:t xml:space="preserve">, aislando la especie más fácilmente reducida.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Aplicaciones alimentarias: lactosa en lácteos, benzaldehído en almendras, colesterol en cereales, pectinas en zumos.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Extracciones con disolventes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extracción separa un soluto repartido entre dos fases: </w:t>
      </w:r>
      <w:r>
        <w:rPr>
          <w:rFonts w:ascii="Cambria" w:hAnsi="Cambria"/>
          <w:b/>
          <w:bCs/>
        </w:rPr>
        <w:t xml:space="preserve">líquido/líquido</w:t>
      </w:r>
      <w:r>
        <w:rPr>
          <w:rFonts w:ascii="Cambria" w:hAnsi="Cambria"/>
        </w:rPr>
        <w:t xml:space="preserve"> (dos líquidos inmiscibles) o </w:t>
      </w:r>
      <w:r>
        <w:rPr>
          <w:rFonts w:ascii="Cambria" w:hAnsi="Cambria"/>
          <w:b/>
          <w:bCs/>
        </w:rPr>
        <w:t xml:space="preserve">sólido/líquido</w:t>
      </w:r>
      <w:r>
        <w:rPr>
          <w:rFonts w:ascii="Cambria" w:hAnsi="Cambria"/>
        </w:rPr>
        <w:t xml:space="preserve"> (soluto sólido extraído por fase líquida).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Extracción sólido/líquido</w:t>
      </w:r>
      <w:r>
        <w:rPr>
          <w:rFonts w:ascii="Cambria" w:hAnsi="Cambria"/>
        </w:rPr>
        <w:t xml:space="preserve">: mediante </w:t>
      </w:r>
      <w:r>
        <w:rPr>
          <w:rFonts w:ascii="Cambria" w:hAnsi="Cambria"/>
          <w:b/>
          <w:bCs/>
        </w:rPr>
        <w:t xml:space="preserve">maceración</w:t>
      </w:r>
      <w:r>
        <w:rPr>
          <w:rFonts w:ascii="Cambria" w:hAnsi="Cambria"/>
        </w:rPr>
        <w:t xml:space="preserve"> (reposo con el disolvente, bajo rendimiento) o </w:t>
      </w:r>
      <w:r>
        <w:rPr>
          <w:rFonts w:ascii="Cambria" w:hAnsi="Cambria"/>
          <w:b/>
          <w:bCs/>
        </w:rPr>
        <w:t xml:space="preserve">percolación</w:t>
      </w:r>
      <w:r>
        <w:rPr>
          <w:rFonts w:ascii="Cambria" w:hAnsi="Cambria"/>
        </w:rPr>
        <w:t xml:space="preserve"> (extracción prolongada y continua, típicamente con el </w:t>
      </w:r>
      <w:r>
        <w:rPr>
          <w:rFonts w:ascii="Cambria" w:hAnsi="Cambria"/>
          <w:b/>
          <w:bCs/>
        </w:rPr>
        <w:t xml:space="preserve">extractor de Soxhlet</w:t>
      </w:r>
      <w:r>
        <w:rPr>
          <w:rFonts w:ascii="Cambria" w:hAnsi="Cambria"/>
        </w:rPr>
        <w:t xml:space="preserve">). Se aplica en la determinación de materia grasa en alimentos sólidos y en la extracción etérea del azafrán.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Extracción líquido/líquido</w:t>
      </w:r>
      <w:r>
        <w:rPr>
          <w:rFonts w:ascii="Cambria" w:hAnsi="Cambria"/>
        </w:rPr>
        <w:t xml:space="preserve">: se rige por el coeficiente de reparto </w:t>
      </w:r>
      <w:r>
        <w:rPr>
          <w:rFonts w:ascii="Cambria" w:hAnsi="Cambria"/>
          <w:b/>
          <w:bCs/>
        </w:rPr>
        <w:t xml:space="preserve">KD = [A]orgánica / [A]acuosa</w:t>
      </w:r>
      <w:r>
        <w:rPr>
          <w:rFonts w:ascii="Cambria" w:hAnsi="Cambria"/>
        </w:rPr>
        <w:t xml:space="preserve">, constante a temperatura dada e independiente de la concentración total.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Extracciones simples</w:t>
      </w:r>
      <w:r>
        <w:rPr>
          <w:rFonts w:ascii="Cambria" w:hAnsi="Cambria"/>
        </w:rPr>
        <w:t xml:space="preserve">: con embudos de decantación, aplicadas a pesticidas y contenido graso en alimentos.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Extracciones exhaustivas</w:t>
      </w:r>
      <w:r>
        <w:rPr>
          <w:rFonts w:ascii="Cambria" w:hAnsi="Cambria"/>
        </w:rPr>
        <w:t xml:space="preserve">: mediante perforadores automáticos y continuos.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Fraccionamiento a contracorriente</w:t>
      </w:r>
      <w:r>
        <w:rPr>
          <w:rFonts w:ascii="Cambria" w:hAnsi="Cambria"/>
        </w:rPr>
        <w:t xml:space="preserve">: repetición de equilibrios de distribución, empleado en la separación de aminoácidos.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Aplicaciones: ácidos grasos en leche, pesticidas, ácidos débiles como el salicílico y halógenos (I2, Br2).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Otras técnicas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Intercambio iónico</w:t>
      </w:r>
      <w:r>
        <w:rPr>
          <w:rFonts w:ascii="Cambria" w:hAnsi="Cambria"/>
        </w:rPr>
        <w:t xml:space="preserve">: retención de iones en un sólido poroso, normalmente resinas sintéticas en columna, para eliminar interferencias o concentrar iones. Su aplicación principal es la cromatografía de líquidos, además de la separación de iones interferentes, concentración de trazas y conversión de sales en ácidos o bases.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Destilación</w:t>
      </w:r>
      <w:r>
        <w:rPr>
          <w:rFonts w:ascii="Cambria" w:hAnsi="Cambria"/>
        </w:rPr>
        <w:t xml:space="preserve">: separa componentes según su razón de distribución disolución/fase vapor. Ejemplos: separación del metabisulfito (conservante en gambas y langostinos) como SO2, y separación de As y Sb como AsCl3 y SbCl3.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Volatilización</w:t>
      </w:r>
      <w:r>
        <w:rPr>
          <w:rFonts w:ascii="Cambria" w:hAnsi="Cambria"/>
        </w:rPr>
        <w:t xml:space="preserve">: desprendimiento de un componente por calentamiento, cuantificado por diferencia de peso (método indirecto) o por absorción en un medio apropiado (método directo). Se emplea en la determinación gravimétrica del agua (105-110 ºC) y del CO2, así como en la humedad de cereales, que no debe superar el </w:t>
      </w:r>
      <w:r>
        <w:rPr>
          <w:rFonts w:ascii="Cambria" w:hAnsi="Cambria"/>
          <w:b/>
          <w:bCs/>
        </w:rPr>
        <w:t xml:space="preserve">15 %</w:t>
      </w:r>
      <w:r>
        <w:rPr>
          <w:rFonts w:ascii="Cambria" w:hAnsi="Cambria"/>
        </w:rPr>
        <w:t xml:space="preserve"> en el envasado.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técnicas de preparación de muestras son el paso previo, y con frecuencia el más determinante, del proceso analítico, del que depende que el analito llegue al sistema de medida en la forma química adecuada, libre de interferencias y en concentración cuantificable.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Disoluciones, mineralizaciones, precipitaciones y extracciones son etapas críticas cuyo dominio resulta indispensable para mantener los estándares de calidad exigidos por la acreditación ENAC.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diversidad de matrices alimentarias e industriales que llegan a la red de laboratorios del SOIVRE exige un amplio repertorio de técnicas preparativas, seleccionadas según el analito y la matriz, con el objetivo de emitir resultados precisos, reproducibles y defendibles ante controversias comerciales.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35 – Técnicas de preparación de muestras: Disoluciones químicas. Extracciones. Mineralizaciones por vía seca y por vía húmeda. Precipitaciones. Otras técnicas preparativas. Fundamentos. Instrumental necesario para cada técnica. Aplicaciones al análisis en el campo alimentario y de seguridad industrial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