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Servicio de Inspección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desarrolla parte de su labor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algunos acreditados por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laboratorios están acreditados según la </w:t>
      </w:r>
      <w:r>
        <w:rPr>
          <w:rFonts w:ascii="Cambria" w:hAnsi="Cambria"/>
          <w:b/>
          <w:bCs/>
        </w:rPr>
        <w:t xml:space="preserve">Norma UNE-EN ISO/IEC 17025:2017</w:t>
      </w:r>
      <w:r>
        <w:rPr>
          <w:rFonts w:ascii="Cambria" w:hAnsi="Cambria"/>
        </w:rPr>
        <w:t xml:space="preserve">, que regula el Sistema de Gestión de la Calidad en laboratorios de ensayo y calibración y establece los requisitos de competencia.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, según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, es el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Marcas de ENAC cuentan con el respaldo de los Acuerdos Multilaterales de Reconocimiento, gestionados por </w:t>
      </w:r>
      <w:r>
        <w:rPr>
          <w:rFonts w:ascii="Cambria" w:hAnsi="Cambria"/>
          <w:b/>
          <w:bCs/>
        </w:rPr>
        <w:t xml:space="preserve">EA (European Cooperation for Accreditation)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Global Accreditation Cooperation Incorporated (Global ACI)</w:t>
      </w:r>
      <w:r>
        <w:rPr>
          <w:rFonts w:ascii="Cambria" w:hAnsi="Cambria"/>
        </w:rPr>
        <w:t xml:space="preserve">, resultante desde el 1 de enero de 2026 de la fusión de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SOIVRE consta de </w:t>
      </w:r>
      <w:r>
        <w:rPr>
          <w:rFonts w:ascii="Cambria" w:hAnsi="Cambria"/>
          <w:b/>
          <w:bCs/>
        </w:rPr>
        <w:t xml:space="preserve">16 laboratorios de ensayo periféricos</w:t>
      </w:r>
      <w:r>
        <w:rPr>
          <w:rFonts w:ascii="Cambria" w:hAnsi="Cambria"/>
        </w:rPr>
        <w:t xml:space="preserve"> y un </w:t>
      </w:r>
      <w:r>
        <w:rPr>
          <w:rFonts w:ascii="Cambria" w:hAnsi="Cambria"/>
          <w:b/>
          <w:bCs/>
        </w:rPr>
        <w:t xml:space="preserve">Laboratorio Central en Madrid</w:t>
      </w:r>
      <w:r>
        <w:rPr>
          <w:rFonts w:ascii="Cambria" w:hAnsi="Cambria"/>
        </w:rPr>
        <w:t xml:space="preserve">, adscritos a la Subdirección General de Inspección, Certificación y Asistencia Técnica de Comercio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(Centro Analítico de Inspección y Control de la Calidad del Comercio Exterior)</w:t>
      </w:r>
      <w:r>
        <w:rPr>
          <w:rFonts w:ascii="Cambria" w:hAnsi="Cambria"/>
        </w:rPr>
        <w:t xml:space="preserve">, creado en 1989, coordina la red periférica, gestiona adquisiciones, asesora técnicamente, desarrolla metodologías, coordina la formación y el programa de acreditación.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en un laboratorio analítico puede ser: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Interno o intralaboratorio</w:t>
      </w:r>
      <w:r>
        <w:rPr>
          <w:rFonts w:ascii="Cambria" w:hAnsi="Cambria"/>
        </w:rPr>
        <w:t xml:space="preserve">: evaluación diaria de la fiabilidad de las determinaciones rutinarias, con fases preanalítica, analítica y postanalítica.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Externo o interlaboratorio</w:t>
      </w:r>
      <w:r>
        <w:rPr>
          <w:rFonts w:ascii="Cambria" w:hAnsi="Cambria"/>
        </w:rPr>
        <w:t xml:space="preserve">: participación en pruebas de intercomparación.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describen los 4 ensayos físico-químicos fundamentales de la Red SOIVRE: gravimetría, volumetría, potenciometría y conductimetría.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GRAVIMETRÍA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Descripción y fundamentos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basa en la separación de un componente, por precipitación, extracción u otros procedimientos, para su posterior pesada.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Gravimetrías directas</w:t>
      </w:r>
      <w:r>
        <w:rPr>
          <w:rFonts w:ascii="Cambria" w:hAnsi="Cambria"/>
        </w:rPr>
        <w:t xml:space="preserve">: se determina el peso de la sustancia buscada. Incluyen precipitación, electrodeposición, extracción por disolvente y volatilización.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Gravimetrías indirectas</w:t>
      </w:r>
      <w:r>
        <w:rPr>
          <w:rFonts w:ascii="Cambria" w:hAnsi="Cambria"/>
        </w:rPr>
        <w:t xml:space="preserve">: no se pesa directamente el analito. Incluyen volatilización y técnicas termogravimétricas.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gravimetría de precipitación</w:t>
      </w:r>
      <w:r>
        <w:rPr>
          <w:rFonts w:ascii="Cambria" w:hAnsi="Cambria"/>
        </w:rPr>
        <w:t xml:space="preserve"> consta de las etapas de pesada, disolución, precipitación, envejecimiento (digestión si es en caliente), filtración y lavado, secado o calcinación, y pesada y cálculos según el </w:t>
      </w:r>
      <w:r>
        <w:rPr>
          <w:rFonts w:ascii="Cambria" w:hAnsi="Cambria"/>
          <w:b/>
          <w:bCs/>
        </w:rPr>
        <w:t xml:space="preserve">Factor Gravimétrico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electrodeposición</w:t>
      </w:r>
      <w:r>
        <w:rPr>
          <w:rFonts w:ascii="Cambria" w:hAnsi="Cambria"/>
        </w:rPr>
        <w:t xml:space="preserve"> emplea la corriente eléctrica como reactivo para depositar metales en el cátodo o aniones en el ánodo.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volatilización</w:t>
      </w:r>
      <w:r>
        <w:rPr>
          <w:rFonts w:ascii="Cambria" w:hAnsi="Cambria"/>
        </w:rPr>
        <w:t xml:space="preserve"> puede ser por evaporación, incineración (determinación de cenizas) o por técnicas de absorción.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extracción con disolventes</w:t>
      </w:r>
      <w:r>
        <w:rPr>
          <w:rFonts w:ascii="Cambria" w:hAnsi="Cambria"/>
        </w:rPr>
        <w:t xml:space="preserve"> puede ser líquido/líquido (grasa en leche) o sólido/líquido (grasa en quesos por técnica </w:t>
      </w:r>
      <w:r>
        <w:rPr>
          <w:rFonts w:ascii="Cambria" w:hAnsi="Cambria"/>
          <w:b/>
          <w:bCs/>
        </w:rPr>
        <w:t xml:space="preserve">Soxhlet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la gravimetría indirecta por volatilización se determina la humedad por pérdida de peso a unos 105 ºC.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Instrumentación necesaria y calibración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Instrumentos: </w:t>
      </w:r>
      <w:r>
        <w:rPr>
          <w:rFonts w:ascii="Cambria" w:hAnsi="Cambria"/>
          <w:b/>
          <w:bCs/>
        </w:rPr>
        <w:t xml:space="preserve">balanzas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estufas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muflas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balanzas exigen exactitud y sensibilidad: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Diariamente: control de nivel, punto cero y calibración con pesa de referencia.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Semestralmente: verificación de exactitud, precisión e incertidumbre, con emisión de certificado.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Anualmente: calibración de pesas de uso diario frente a pesas certificadas.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Trienalmente: recalibración de pesas certificadas por organismos acreditados.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Estufas y muflas se calibran semestralmente, verificando exactitud, precisión y constancia de temperatura.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usa para determinar cloruros, fósforo y hierro, y metales en pescado, aunque hoy desplazada en parte por espectrometría de absorción atómica.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Cl- por precipitación en forma de AgCl con AgNO3 en carne.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Ca2+ en forma de oxalato cálcico monohidratado.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Aplicaciones en el ámbito de la seguridad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</w:t>
      </w:r>
      <w:r>
        <w:rPr>
          <w:rFonts w:ascii="Cambria" w:hAnsi="Cambria"/>
          <w:b/>
          <w:bCs/>
        </w:rPr>
        <w:t xml:space="preserve">Cromo VI</w:t>
      </w:r>
      <w:r>
        <w:rPr>
          <w:rFonts w:ascii="Cambria" w:hAnsi="Cambria"/>
        </w:rPr>
        <w:t xml:space="preserve"> en calzado o guantes: límite de ≤3,0 mg/kg en cuero según el </w:t>
      </w:r>
      <w:r>
        <w:rPr>
          <w:rFonts w:ascii="Cambria" w:hAnsi="Cambria"/>
          <w:b/>
          <w:bCs/>
        </w:rPr>
        <w:t xml:space="preserve">Reglamento (UE) 301/2014</w:t>
      </w:r>
      <w:r>
        <w:rPr>
          <w:rFonts w:ascii="Cambria" w:hAnsi="Cambria"/>
        </w:rPr>
        <w:t xml:space="preserve">, con referencia a la norma </w:t>
      </w:r>
      <w:r>
        <w:rPr>
          <w:rFonts w:ascii="Cambria" w:hAnsi="Cambria"/>
          <w:b/>
          <w:bCs/>
        </w:rPr>
        <w:t xml:space="preserve">UNE-EN ISO 20345:2022</w:t>
      </w:r>
      <w:r>
        <w:rPr>
          <w:rFonts w:ascii="Cambria" w:hAnsi="Cambria"/>
        </w:rPr>
        <w:t xml:space="preserve">, y de ≤1,0 mg/kg en partes textiles según el </w:t>
      </w:r>
      <w:r>
        <w:rPr>
          <w:rFonts w:ascii="Cambria" w:hAnsi="Cambria"/>
          <w:b/>
          <w:bCs/>
        </w:rPr>
        <w:t xml:space="preserve">Reglamento (UE) 2018/1513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sustancias solubles en agua en partes de calzado según </w:t>
      </w:r>
      <w:r>
        <w:rPr>
          <w:rFonts w:ascii="Cambria" w:hAnsi="Cambria"/>
          <w:b/>
          <w:bCs/>
        </w:rPr>
        <w:t xml:space="preserve">UNE-EN ISO 20869:2010</w:t>
      </w:r>
      <w:r>
        <w:rPr>
          <w:rFonts w:ascii="Cambria" w:hAnsi="Cambria"/>
        </w:rPr>
        <w:t xml:space="preserve">, y de materiales volátiles.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VOLUMETRÍA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Descripción y fundamentos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Consiste en añadir una disolución valorada de concentración conocida a la disolución problema hasta el </w:t>
      </w:r>
      <w:r>
        <w:rPr>
          <w:rFonts w:ascii="Cambria" w:hAnsi="Cambria"/>
          <w:b/>
          <w:bCs/>
        </w:rPr>
        <w:t xml:space="preserve">punto de equivalencia</w:t>
      </w:r>
      <w:r>
        <w:rPr>
          <w:rFonts w:ascii="Cambria" w:hAnsi="Cambria"/>
        </w:rPr>
        <w:t xml:space="preserve">, que no es observable directamente.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la práctica se detecta el </w:t>
      </w:r>
      <w:r>
        <w:rPr>
          <w:rFonts w:ascii="Cambria" w:hAnsi="Cambria"/>
          <w:b/>
          <w:bCs/>
        </w:rPr>
        <w:t xml:space="preserve">punto final</w:t>
      </w:r>
      <w:r>
        <w:rPr>
          <w:rFonts w:ascii="Cambria" w:hAnsi="Cambria"/>
        </w:rPr>
        <w:t xml:space="preserve">, mediante un cambio de color, potencial o conductividad, idealmente coincidente con el punto de equivalencia.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indicadores pueden ser internos (coloreados, conductimétricos, potenciométricos, amperométricos, luminiscentes) o externos, detectados fuera del recipiente de valoración.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Clasificación de los métodos volumétricos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Por el tipo de reacción química</w:t>
      </w:r>
      <w:r>
        <w:rPr>
          <w:rFonts w:ascii="Cambria" w:hAnsi="Cambria"/>
        </w:rPr>
        <w:t xml:space="preserve">: neutralización, formación de complejos, óxido-reducción y precipitación (métodos de Mohr y de Volhard).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Neutralización o ácido-base</w:t>
      </w:r>
      <w:r>
        <w:rPr>
          <w:rFonts w:ascii="Cambria" w:hAnsi="Cambria"/>
        </w:rPr>
        <w:t xml:space="preserve">: transferencia de H+, aplicada a materias grasas (grado de acidez y saponificación), zumos, vino y cerveza, y nitrógeno por el método </w:t>
      </w:r>
      <w:r>
        <w:rPr>
          <w:rFonts w:ascii="Cambria" w:hAnsi="Cambria"/>
          <w:b/>
          <w:bCs/>
        </w:rPr>
        <w:t xml:space="preserve">Kjeldahl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Formación de complejos</w:t>
      </w:r>
      <w:r>
        <w:rPr>
          <w:rFonts w:ascii="Cambria" w:hAnsi="Cambria"/>
        </w:rPr>
        <w:t xml:space="preserve">: usa AEDT (EDTA) como acomplejante y negro de eriocromo T o murexida como indicador, para dureza total del agua, calcio y magnesio.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Óxido-reducción</w:t>
      </w:r>
      <w:r>
        <w:rPr>
          <w:rFonts w:ascii="Cambria" w:hAnsi="Cambria"/>
        </w:rPr>
        <w:t xml:space="preserve">: sustancias reductoras valoradas con permanganato, dicromato o yodo, y oxidantes con tiosulfato, con engrudo de almidón como indicador. Aplicaciones en índice de peróxidos y de yodo en grasas, cloro y oxígeno disuelto en agua, azúcares reductores por método </w:t>
      </w:r>
      <w:r>
        <w:rPr>
          <w:rFonts w:ascii="Cambria" w:hAnsi="Cambria"/>
          <w:b/>
          <w:bCs/>
        </w:rPr>
        <w:t xml:space="preserve">Fehling</w:t>
      </w:r>
      <w:r>
        <w:rPr>
          <w:rFonts w:ascii="Cambria" w:hAnsi="Cambria"/>
        </w:rPr>
        <w:t xml:space="preserve">, y anhídrido sulfuroso en zumos y vino.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Precipitación</w:t>
      </w:r>
      <w:r>
        <w:rPr>
          <w:rFonts w:ascii="Cambria" w:hAnsi="Cambria"/>
        </w:rPr>
        <w:t xml:space="preserve">: determinación de sulfatos en vinos, con los métodos de Mohr (cloruros) y Volhard (halógenos).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Por el modo de valoración</w:t>
      </w:r>
      <w:r>
        <w:rPr>
          <w:rFonts w:ascii="Cambria" w:hAnsi="Cambria"/>
        </w:rPr>
        <w:t xml:space="preserve">: directa, de retorno o retroceso, e indirecta (usada para valorar H+).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 función de la cantidad de reactivo</w:t>
      </w:r>
      <w:r>
        <w:rPr>
          <w:rFonts w:ascii="Cambria" w:hAnsi="Cambria"/>
        </w:rPr>
        <w:t xml:space="preserve">: micrométodo (0,4-1 mL o 1-10 mg), semimicrométodo (1-10 mL o 10-100 mg) y macrométodo (10-100 mL o 100-1.000 mg).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Instrumentación necesaria y calibración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calibración se efectúa a la recepción del material por muestreo aleatorio, por ejemplo 1 de cada 10 piezas del mismo lote.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reactivos agresivos, el material debe recalibrarse con periodicidad variable.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Buretas, pipetas y matraces Erlenmeyer aforados deben ser de </w:t>
      </w:r>
      <w:r>
        <w:rPr>
          <w:rFonts w:ascii="Cambria" w:hAnsi="Cambria"/>
          <w:b/>
          <w:bCs/>
        </w:rPr>
        <w:t xml:space="preserve">clase 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calibración mide el volumen a la temperatura t y su corrección a t = 20 ºC, considerando presión y humedad ambiental.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Comisión Permanente de Pesas y Medidas</w:t>
      </w:r>
      <w:r>
        <w:rPr>
          <w:rFonts w:ascii="Cambria" w:hAnsi="Cambria"/>
        </w:rPr>
        <w:t xml:space="preserve"> elabora tablas con límites de error del material volumétrico, que debe retirarse si el error es mayor al tolerado.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POTENCIOMETRÍA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Descripción y fundamentos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electrodo metálico sumergido en una solución de sus iones genera un equilibrio de oxidación-reducción: M ↔ Mⁿ⁺ + ne⁻.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Dos electrodos de metales distintos, separados por un tabique poroso, forman una </w:t>
      </w:r>
      <w:r>
        <w:rPr>
          <w:rFonts w:ascii="Cambria" w:hAnsi="Cambria"/>
          <w:b/>
          <w:bCs/>
        </w:rPr>
        <w:t xml:space="preserve">pila o celda galvánica</w:t>
      </w:r>
      <w:r>
        <w:rPr>
          <w:rFonts w:ascii="Cambria" w:hAnsi="Cambria"/>
        </w:rPr>
        <w:t xml:space="preserve">, con ánodo (oxidación) y cátodo (reducción).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fuerza electromotriz</w:t>
      </w:r>
      <w:r>
        <w:rPr>
          <w:rFonts w:ascii="Cambria" w:hAnsi="Cambria"/>
        </w:rPr>
        <w:t xml:space="preserve"> de la pila es la diferencia entre el potencial del cátodo y del ánodo.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métodos potenciométricos determinan la concentración de un analito midiendo la FEM mediante la </w:t>
      </w:r>
      <w:r>
        <w:rPr>
          <w:rFonts w:ascii="Cambria" w:hAnsi="Cambria"/>
          <w:b/>
          <w:bCs/>
        </w:rPr>
        <w:t xml:space="preserve">ecuación de Nernst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Descripción e instrumentación necesaria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potenciómetros</w:t>
      </w:r>
      <w:r>
        <w:rPr>
          <w:rFonts w:ascii="Cambria" w:hAnsi="Cambria"/>
        </w:rPr>
        <w:t xml:space="preserve"> constan de electrodo de referencia (potencial conocido), galvanómetro (mide la FEM) y electrodo indicador (sumergido en el analito).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5 tipos de electrodos: de gases, de metal-ion metálico, de no metal/ion no metálico, de metal/sal insoluble (usados como referencia, como calomelanos o Ag/AgCl) y de óxido-reducción (como el de quinhidrona).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pHmetros</w:t>
      </w:r>
      <w:r>
        <w:rPr>
          <w:rFonts w:ascii="Cambria" w:hAnsi="Cambria"/>
        </w:rPr>
        <w:t xml:space="preserve">, o medidores de pIon, pueden tener precisión de 0,001 a 0,005 unidades de pH.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del pH para la acidez en conservas y zumos.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del punto final en valoraciones de neutralización, óxido-reducción y precipitación.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electrodos ion-selectivos: fluoruros en sal fluorizada, cloruros en agua y leche, bromuro en vino, sulfuros en agua, sodio en carnes y calcio en leche.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electrodos especiales: nitratos y nitritos, y SO2, NH3 y lactosa.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Aplicaciones en seguridad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del pH en cuero, textiles y calzado según la norma </w:t>
      </w:r>
      <w:r>
        <w:rPr>
          <w:rFonts w:ascii="Cambria" w:hAnsi="Cambria"/>
          <w:b/>
          <w:bCs/>
        </w:rPr>
        <w:t xml:space="preserve">UNE-EN ISO 4045:2019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CONDUCTIMETRÍA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Descripción y fundamentos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diferencia de potencial entre dos electrodos sumergidos en una solución electrolítica produce </w:t>
      </w:r>
      <w:r>
        <w:rPr>
          <w:rFonts w:ascii="Cambria" w:hAnsi="Cambria"/>
          <w:b/>
          <w:bCs/>
        </w:rPr>
        <w:t xml:space="preserve">electrólisis</w:t>
      </w:r>
      <w:r>
        <w:rPr>
          <w:rFonts w:ascii="Cambria" w:hAnsi="Cambria"/>
        </w:rPr>
        <w:t xml:space="preserve">, con los aniones migrando al ánodo y los cationes al cátodo.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conductimetría</w:t>
      </w:r>
      <w:r>
        <w:rPr>
          <w:rFonts w:ascii="Cambria" w:hAnsi="Cambria"/>
        </w:rPr>
        <w:t xml:space="preserve"> mide la conductancia de las soluciones electrolíticas, inversa de la resistencia eléctrica del electrolito.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puede medir intensidad, diferencia de potencial, resistencia o una combinación, relacionándose con la concentración del analito.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Descripción e instrumentación necesaria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conductímetros</w:t>
      </w:r>
      <w:r>
        <w:rPr>
          <w:rFonts w:ascii="Cambria" w:hAnsi="Cambria"/>
        </w:rPr>
        <w:t xml:space="preserve"> constan de célula conductimétrica (electrodos de platino), fuente de potencial de corriente alterna y detector de corriente alterna, habitualmente un osciloscopio.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recomienda una calibración mensual con concentraciones de conductividad conocida.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del contenido de cenizas en productos azucarados.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Pruebas de pureza de agua destilada o desionizada, identificación de agua corriente o mineral y control de aguas residuales, y detección de adición de agua a la leche fresca.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miel adulterada mediante conductividad eléctrica.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ácidos grasos libres, caracterización de aceites vegetales y aromas, y punto final de valoraciones ácido-base y de precipitación.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gravimetría, la volumetría, la potenciometría y la conductimetría constituyen el núcleo de las técnicas clásicas de análisis instrumental de la Red de Laboratorios del SOIVRE.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Pese a la implantación de técnicas más sofisticadas, siguen siendo referencia obligada en numerosos análisis oficiales, tanto por su fiabilidad como por constituir el método normalizado frente al que se validan otras técnicas.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 dominio resulta indispensable para el inspector del SOIVRE, al aplicarse de forma transversal en el control de calidad de productos alimentarios y en la verificación de requisitos de seguridad industrial.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36 – Ensayos fisicoquímicos. Gravimetría. Volumetría. Potenciometría. Conductimetría. Fundamentos, descripción e instrumentación. Aplicaciones en el ámbito alimentario y de seguridad industrial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