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Gran parte del trabajo del </w:t>
      </w:r>
      <w:r>
        <w:rPr>
          <w:rFonts w:ascii="Cambria" w:hAnsi="Cambria"/>
          <w:b/>
          <w:bCs/>
        </w:rPr>
        <w:t xml:space="preserve">Servicio de Inspección SOIVRE</w:t>
      </w:r>
      <w:r>
        <w:rPr>
          <w:rFonts w:ascii="Cambria" w:hAnsi="Cambria"/>
        </w:rPr>
        <w:t xml:space="preserve"> se realiza en la </w:t>
      </w:r>
      <w:r>
        <w:rPr>
          <w:rFonts w:ascii="Cambria" w:hAnsi="Cambria"/>
          <w:b/>
          <w:bCs/>
        </w:rPr>
        <w:t xml:space="preserve">Red de Laboratorios del SOIVRE</w:t>
      </w:r>
      <w:r>
        <w:rPr>
          <w:rFonts w:ascii="Cambria" w:hAnsi="Cambria"/>
        </w:rPr>
        <w:t xml:space="preserve">, acreditados según la norma </w:t>
      </w:r>
      <w:r>
        <w:rPr>
          <w:rFonts w:ascii="Cambria" w:hAnsi="Cambria"/>
          <w:b/>
          <w:bCs/>
        </w:rPr>
        <w:t xml:space="preserve">UNE-EN ISO/IEC 17025:2017</w:t>
      </w:r>
      <w:r>
        <w:rPr>
          <w:rFonts w:ascii="Cambria" w:hAnsi="Cambria"/>
        </w:rPr>
        <w:t xml:space="preserve">, que regula el Sistema de Gestión de la Calidad en laboratorios de ensayo y calibración y establece los requisitos para demostrar competencia técnica.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(Entidad Nacional de Acreditación) es una asociación sin ánimo de lucro declarada, según el </w:t>
      </w:r>
      <w:r>
        <w:rPr>
          <w:rFonts w:ascii="Cambria" w:hAnsi="Cambria"/>
          <w:b/>
          <w:bCs/>
        </w:rPr>
        <w:t xml:space="preserve">Real Decreto 1715/2010</w:t>
      </w:r>
      <w:r>
        <w:rPr>
          <w:rFonts w:ascii="Cambria" w:hAnsi="Cambria"/>
        </w:rPr>
        <w:t xml:space="preserve">, único organismo con potestad pública para otorgar acreditaciones conforme al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Marcas de ENAC (Ensayos, Inspección, Calibración, Verificación Medioambiental, Certificación, Inter-comparaciones, Verificación de emisiones) cuentan con el respaldo de los </w:t>
      </w:r>
      <w:r>
        <w:rPr>
          <w:rFonts w:ascii="Cambria" w:hAnsi="Cambria"/>
          <w:b/>
          <w:bCs/>
        </w:rPr>
        <w:t xml:space="preserve">Acuerdos Multilaterales de Reconocimiento</w:t>
      </w:r>
      <w:r>
        <w:rPr>
          <w:rFonts w:ascii="Cambria" w:hAnsi="Cambria"/>
        </w:rPr>
        <w:t xml:space="preserve">, suscritos por más de </w:t>
      </w:r>
      <w:r>
        <w:rPr>
          <w:rFonts w:ascii="Cambria" w:hAnsi="Cambria"/>
          <w:b/>
          <w:bCs/>
        </w:rPr>
        <w:t xml:space="preserve">120 países</w:t>
      </w:r>
      <w:r>
        <w:rPr>
          <w:rFonts w:ascii="Cambria" w:hAnsi="Cambria"/>
        </w:rPr>
        <w:t xml:space="preserve">, gestionados por </w:t>
      </w:r>
      <w:r>
        <w:rPr>
          <w:rFonts w:ascii="Cambria" w:hAnsi="Cambria"/>
          <w:b/>
          <w:bCs/>
        </w:rPr>
        <w:t xml:space="preserve">EA</w:t>
      </w:r>
      <w:r>
        <w:rPr>
          <w:rFonts w:ascii="Cambria" w:hAnsi="Cambria"/>
        </w:rPr>
        <w:t xml:space="preserve"> (European Cooperation for Accreditation) y </w:t>
      </w:r>
      <w:r>
        <w:rPr>
          <w:rFonts w:ascii="Cambria" w:hAnsi="Cambria"/>
          <w:b/>
          <w:bCs/>
        </w:rPr>
        <w:t xml:space="preserve">Global ACI</w:t>
      </w:r>
      <w:r>
        <w:rPr>
          <w:rFonts w:ascii="Cambria" w:hAnsi="Cambria"/>
        </w:rPr>
        <w:t xml:space="preserve"> (Global Accreditation Cooperation Incorporated), resultante desde el </w:t>
      </w:r>
      <w:r>
        <w:rPr>
          <w:rFonts w:ascii="Cambria" w:hAnsi="Cambria"/>
          <w:b/>
          <w:bCs/>
        </w:rPr>
        <w:t xml:space="preserve">1 de enero de 2026</w:t>
      </w:r>
      <w:r>
        <w:rPr>
          <w:rFonts w:ascii="Cambria" w:hAnsi="Cambria"/>
        </w:rPr>
        <w:t xml:space="preserve"> de la fusión de </w:t>
      </w:r>
      <w:r>
        <w:rPr>
          <w:rFonts w:ascii="Cambria" w:hAnsi="Cambria"/>
          <w:b/>
          <w:bCs/>
        </w:rPr>
        <w:t xml:space="preserve">ILAC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IAF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Red periférica cuenta con </w:t>
      </w:r>
      <w:r>
        <w:rPr>
          <w:rFonts w:ascii="Cambria" w:hAnsi="Cambria"/>
          <w:b/>
          <w:bCs/>
        </w:rPr>
        <w:t xml:space="preserve">16 laboratorios de ensayo</w:t>
      </w:r>
      <w:r>
        <w:rPr>
          <w:rFonts w:ascii="Cambria" w:hAnsi="Cambria"/>
        </w:rPr>
        <w:t xml:space="preserve">: Pontevedra (Vigo), Bizkaia (Bilbao), Navarra (Pamplona), Girona (Figueras), Barcelona, Valencia, Alicante, Murcia, Almería, Málaga, Sevilla, Cádiz (Algeciras), Huelva, Santa Cruz de Tenerife, Las Palmas y Madrid (Barajas), más un </w:t>
      </w:r>
      <w:r>
        <w:rPr>
          <w:rFonts w:ascii="Cambria" w:hAnsi="Cambria"/>
          <w:b/>
          <w:bCs/>
        </w:rPr>
        <w:t xml:space="preserve">Laboratorio Central</w:t>
      </w:r>
      <w:r>
        <w:rPr>
          <w:rFonts w:ascii="Cambria" w:hAnsi="Cambria"/>
        </w:rPr>
        <w:t xml:space="preserve"> en Madrid, todos ellos encuadrados en la Subdirección Gral. de Inspección, Certificación y Asistencia Técnica de Comercio Exterior del </w:t>
      </w:r>
      <w:r>
        <w:rPr>
          <w:rFonts w:ascii="Cambria" w:hAnsi="Cambria"/>
          <w:b/>
          <w:bCs/>
        </w:rPr>
        <w:t xml:space="preserve">MECE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Laboratorio Central SOIVRE</w:t>
      </w:r>
      <w:r>
        <w:rPr>
          <w:rFonts w:ascii="Cambria" w:hAnsi="Cambria"/>
        </w:rPr>
        <w:t xml:space="preserve">, creado en </w:t>
      </w:r>
      <w:r>
        <w:rPr>
          <w:rFonts w:ascii="Cambria" w:hAnsi="Cambria"/>
          <w:b/>
          <w:bCs/>
        </w:rPr>
        <w:t xml:space="preserve">1989</w:t>
      </w:r>
      <w:r>
        <w:rPr>
          <w:rFonts w:ascii="Cambria" w:hAnsi="Cambria"/>
        </w:rPr>
        <w:t xml:space="preserve">, coordina y armoniza la red periférica, gestiona aplicaciones informáticas y adquisiciones, asesora sobre reactivos y calibración, desarrolla metodologías, da soporte analítico, organiza ejercicios de intercomparación, coordina la acreditación y la formación, y presta apoyo documental y asesoramiento en seguridad.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1.1. Control de calidad en el laboratorio analítico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control de calidad</w:t>
      </w:r>
      <w:r>
        <w:rPr>
          <w:rFonts w:ascii="Cambria" w:hAnsi="Cambria"/>
        </w:rPr>
        <w:t xml:space="preserve"> es el conjunto de medidas para observar y conservar la fiabilidad de un método analítico.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Interno o intralaboratorio</w:t>
      </w:r>
      <w:r>
        <w:rPr>
          <w:rFonts w:ascii="Cambria" w:hAnsi="Cambria"/>
        </w:rPr>
        <w:t xml:space="preserve">: evaluación diaria de la fiabilidad de las determinaciones rutinarias, con tres fases: </w:t>
      </w:r>
      <w:r>
        <w:rPr>
          <w:rFonts w:ascii="Cambria" w:hAnsi="Cambria"/>
          <w:b/>
          <w:bCs/>
        </w:rPr>
        <w:t xml:space="preserve">preanalítica</w:t>
      </w:r>
      <w:r>
        <w:rPr>
          <w:rFonts w:ascii="Cambria" w:hAnsi="Cambria"/>
        </w:rPr>
        <w:t xml:space="preserve"> (toma y tratamiento de muestras), </w:t>
      </w:r>
      <w:r>
        <w:rPr>
          <w:rFonts w:ascii="Cambria" w:hAnsi="Cambria"/>
          <w:b/>
          <w:bCs/>
        </w:rPr>
        <w:t xml:space="preserve">analítica</w:t>
      </w:r>
      <w:r>
        <w:rPr>
          <w:rFonts w:ascii="Cambria" w:hAnsi="Cambria"/>
        </w:rPr>
        <w:t xml:space="preserve"> (validación de métodos, muestras de control, gráficos de control) y </w:t>
      </w:r>
      <w:r>
        <w:rPr>
          <w:rFonts w:ascii="Cambria" w:hAnsi="Cambria"/>
          <w:b/>
          <w:bCs/>
        </w:rPr>
        <w:t xml:space="preserve">postanalítica</w:t>
      </w:r>
      <w:r>
        <w:rPr>
          <w:rFonts w:ascii="Cambria" w:hAnsi="Cambria"/>
        </w:rPr>
        <w:t xml:space="preserve"> (procesamiento estadístico y archivo).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Externo o interlaboratorio</w:t>
      </w:r>
      <w:r>
        <w:rPr>
          <w:rFonts w:ascii="Cambria" w:hAnsi="Cambria"/>
        </w:rPr>
        <w:t xml:space="preserve">: participación en pruebas de intercomparación entre laboratorios.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MICROSCOPÍA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Descripción e instrumentación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ojo humano distingue objetos de tamaño superior a </w:t>
      </w:r>
      <w:r>
        <w:rPr>
          <w:rFonts w:ascii="Cambria" w:hAnsi="Cambria"/>
          <w:b/>
          <w:bCs/>
        </w:rPr>
        <w:t xml:space="preserve">0,1 mm</w:t>
      </w:r>
      <w:r>
        <w:rPr>
          <w:rFonts w:ascii="Cambria" w:hAnsi="Cambria"/>
        </w:rPr>
        <w:t xml:space="preserve">, insuficiente para observar componentes celulares.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microscopía</w:t>
      </w:r>
      <w:r>
        <w:rPr>
          <w:rFonts w:ascii="Cambria" w:hAnsi="Cambria"/>
        </w:rPr>
        <w:t xml:space="preserve"> utiliza un sistema de lentes amplificadoras interpuestas entre el objeto y el ojo.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Aplicaciones destacadas: determinación de mohos en derivados de tomate por el </w:t>
      </w:r>
      <w:r>
        <w:rPr>
          <w:rFonts w:ascii="Cambria" w:hAnsi="Cambria"/>
          <w:b/>
          <w:bCs/>
        </w:rPr>
        <w:t xml:space="preserve">método Howard</w:t>
      </w:r>
      <w:r>
        <w:rPr>
          <w:rFonts w:ascii="Cambria" w:hAnsi="Cambria"/>
        </w:rPr>
        <w:t xml:space="preserve">, reconocimiento del tipo de almidón en harinas y detección de adulteraciones en azafrán mediante observación de estigmas.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Microscopía óptica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Utiliza el poder separador de los fotones. El </w:t>
      </w:r>
      <w:r>
        <w:rPr>
          <w:rFonts w:ascii="Cambria" w:hAnsi="Cambria"/>
          <w:b/>
          <w:bCs/>
        </w:rPr>
        <w:t xml:space="preserve">contraste</w:t>
      </w:r>
      <w:r>
        <w:rPr>
          <w:rFonts w:ascii="Cambria" w:hAnsi="Cambria"/>
        </w:rPr>
        <w:t xml:space="preserve"> con el medio es necesario para percibir el objeto.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poder de resolución depende de la </w:t>
      </w:r>
      <w:r>
        <w:rPr>
          <w:rFonts w:ascii="Cambria" w:hAnsi="Cambria"/>
          <w:b/>
          <w:bCs/>
        </w:rPr>
        <w:t xml:space="preserve">apertura numérica (AN)</w:t>
      </w:r>
      <w:r>
        <w:rPr>
          <w:rFonts w:ascii="Cambria" w:hAnsi="Cambria"/>
        </w:rPr>
        <w:t xml:space="preserve"> del objetivo, que a mayor valor da mayor resolución, y de la </w:t>
      </w:r>
      <w:r>
        <w:rPr>
          <w:rFonts w:ascii="Cambria" w:hAnsi="Cambria"/>
          <w:b/>
          <w:bCs/>
        </w:rPr>
        <w:t xml:space="preserve">longitud de onda</w:t>
      </w:r>
      <w:r>
        <w:rPr>
          <w:rFonts w:ascii="Cambria" w:hAnsi="Cambria"/>
        </w:rPr>
        <w:t xml:space="preserve"> empleada, cuanto menor, mayor resolución.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 lentes de gran aumento, aceite de inmersión y luz visible, el límite de resolución es de aproximadamente </w:t>
      </w:r>
      <w:r>
        <w:rPr>
          <w:rFonts w:ascii="Cambria" w:hAnsi="Cambria"/>
          <w:b/>
          <w:bCs/>
        </w:rPr>
        <w:t xml:space="preserve">200 nm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de microscopios: </w:t>
      </w:r>
      <w:r>
        <w:rPr>
          <w:rFonts w:ascii="Cambria" w:hAnsi="Cambria"/>
          <w:b/>
          <w:bCs/>
        </w:rPr>
        <w:t xml:space="preserve">simple</w:t>
      </w:r>
      <w:r>
        <w:rPr>
          <w:rFonts w:ascii="Cambria" w:hAnsi="Cambria"/>
        </w:rPr>
        <w:t xml:space="preserve"> (una lente, como la lupa) y </w:t>
      </w:r>
      <w:r>
        <w:rPr>
          <w:rFonts w:ascii="Cambria" w:hAnsi="Cambria"/>
          <w:b/>
          <w:bCs/>
        </w:rPr>
        <w:t xml:space="preserve">compuesto</w:t>
      </w:r>
      <w:r>
        <w:rPr>
          <w:rFonts w:ascii="Cambria" w:hAnsi="Cambria"/>
        </w:rPr>
        <w:t xml:space="preserve"> (objetivo, ocular y condensador), con variantes según adaptaciones: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Campo oscuro</w:t>
      </w:r>
      <w:r>
        <w:rPr>
          <w:rFonts w:ascii="Cambria" w:hAnsi="Cambria"/>
        </w:rPr>
        <w:t xml:space="preserve">: objeto brillante sobre fondo oscuro, útil en preparaciones transparentes.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Contraste de fases</w:t>
      </w:r>
      <w:r>
        <w:rPr>
          <w:rFonts w:ascii="Cambria" w:hAnsi="Cambria"/>
        </w:rPr>
        <w:t xml:space="preserve">: acentúa diferencias entre materiales, útil para células vivas.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Interferencia</w:t>
      </w:r>
      <w:r>
        <w:rPr>
          <w:rFonts w:ascii="Cambria" w:hAnsi="Cambria"/>
        </w:rPr>
        <w:t xml:space="preserve">: convierte diferencias de fase en diferencias de color, útil en cromosomas.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Fluorescencia</w:t>
      </w:r>
      <w:r>
        <w:rPr>
          <w:rFonts w:ascii="Cambria" w:hAnsi="Cambria"/>
        </w:rPr>
        <w:t xml:space="preserve">: se basa en radiación fluorescente al irradiar con luz UV, útil en diagnóstico de tumores.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Polarización</w:t>
      </w:r>
      <w:r>
        <w:rPr>
          <w:rFonts w:ascii="Cambria" w:hAnsi="Cambria"/>
        </w:rPr>
        <w:t xml:space="preserve">: emplea luz polarizada con polarizador y analizador perpendiculares, usada en cristalografía.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Microscopía electrónica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basa en la desviación de un haz de electrones por un campo electromagnético, con lentes electrónicas en lugar de ópticas.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Requiere </w:t>
      </w:r>
      <w:r>
        <w:rPr>
          <w:rFonts w:ascii="Cambria" w:hAnsi="Cambria"/>
          <w:b/>
          <w:bCs/>
        </w:rPr>
        <w:t xml:space="preserve">vacío</w:t>
      </w:r>
      <w:r>
        <w:rPr>
          <w:rFonts w:ascii="Cambria" w:hAnsi="Cambria"/>
        </w:rPr>
        <w:t xml:space="preserve"> en muestra y aparato, y muestras muy delgadas.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longitud de onda es de </w:t>
      </w:r>
      <w:r>
        <w:rPr>
          <w:rFonts w:ascii="Cambria" w:hAnsi="Cambria"/>
          <w:b/>
          <w:bCs/>
        </w:rPr>
        <w:t xml:space="preserve">5 a 10 veces menor</w:t>
      </w:r>
      <w:r>
        <w:rPr>
          <w:rFonts w:ascii="Cambria" w:hAnsi="Cambria"/>
        </w:rPr>
        <w:t xml:space="preserve"> que la de la luz visible, con poder de resolución del orden de </w:t>
      </w:r>
      <w:r>
        <w:rPr>
          <w:rFonts w:ascii="Cambria" w:hAnsi="Cambria"/>
          <w:b/>
          <w:bCs/>
        </w:rPr>
        <w:t xml:space="preserve">5·10⁻⁸ cm (0,5 nm)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Tipos: </w:t>
      </w:r>
      <w:r>
        <w:rPr>
          <w:rFonts w:ascii="Cambria" w:hAnsi="Cambria"/>
          <w:b/>
          <w:bCs/>
        </w:rPr>
        <w:t xml:space="preserve">de transmisión</w:t>
      </w:r>
      <w:r>
        <w:rPr>
          <w:rFonts w:ascii="Cambria" w:hAnsi="Cambria"/>
        </w:rPr>
        <w:t xml:space="preserve"> (los electrones atraviesan la muestra) y </w:t>
      </w:r>
      <w:r>
        <w:rPr>
          <w:rFonts w:ascii="Cambria" w:hAnsi="Cambria"/>
          <w:b/>
          <w:bCs/>
        </w:rPr>
        <w:t xml:space="preserve">de barrido</w:t>
      </w:r>
      <w:r>
        <w:rPr>
          <w:rFonts w:ascii="Cambria" w:hAnsi="Cambria"/>
        </w:rPr>
        <w:t xml:space="preserve"> (observación de superficies, con la muestra cubierta de una capa fina de metal pesado).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2.4. Aplicaciones en el ámbito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Análisis microbiológico.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mohos en derivados de tomate por el método Howard.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Reconocimiento del tipo de almidón en alimentos y harinas.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Identificación de caracteres morfológicos en especias, como las adulteraciones del azafrán.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2.5. Aplicaciones en seguridad industrial: fibras textiles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análisis de fibras requiere extraer los hilos del tejido y después las fibras de los hilos, tratando por separado </w:t>
      </w:r>
      <w:r>
        <w:rPr>
          <w:rFonts w:ascii="Cambria" w:hAnsi="Cambria"/>
          <w:b/>
          <w:bCs/>
        </w:rPr>
        <w:t xml:space="preserve">trama y urdimbre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Tras el destorcido manual, la fibra se coloca en el portaobjetos para su observación.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Identificación por contorno característico: la </w:t>
      </w:r>
      <w:r>
        <w:rPr>
          <w:rFonts w:ascii="Cambria" w:hAnsi="Cambria"/>
          <w:b/>
          <w:bCs/>
        </w:rPr>
        <w:t xml:space="preserve">lana</w:t>
      </w:r>
      <w:r>
        <w:rPr>
          <w:rFonts w:ascii="Cambria" w:hAnsi="Cambria"/>
        </w:rPr>
        <w:t xml:space="preserve"> presenta contorno estriado, la </w:t>
      </w:r>
      <w:r>
        <w:rPr>
          <w:rFonts w:ascii="Cambria" w:hAnsi="Cambria"/>
          <w:b/>
          <w:bCs/>
        </w:rPr>
        <w:t xml:space="preserve">seda</w:t>
      </w:r>
      <w:r>
        <w:rPr>
          <w:rFonts w:ascii="Cambria" w:hAnsi="Cambria"/>
        </w:rPr>
        <w:t xml:space="preserve">, superficie lisa con irregularidades, el </w:t>
      </w:r>
      <w:r>
        <w:rPr>
          <w:rFonts w:ascii="Cambria" w:hAnsi="Cambria"/>
          <w:b/>
          <w:bCs/>
        </w:rPr>
        <w:t xml:space="preserve">algodón</w:t>
      </w:r>
      <w:r>
        <w:rPr>
          <w:rFonts w:ascii="Cambria" w:hAnsi="Cambria"/>
        </w:rPr>
        <w:t xml:space="preserve">, convoluciones en forma de cinta, el </w:t>
      </w:r>
      <w:r>
        <w:rPr>
          <w:rFonts w:ascii="Cambria" w:hAnsi="Cambria"/>
          <w:b/>
          <w:bCs/>
        </w:rPr>
        <w:t xml:space="preserve">lino</w:t>
      </w:r>
      <w:r>
        <w:rPr>
          <w:rFonts w:ascii="Cambria" w:hAnsi="Cambria"/>
        </w:rPr>
        <w:t xml:space="preserve">, líneas transversales o nodos.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Procedimiento experimental: extracción de hilos de trama y urdimbre por separado, preparación de portaobjetos y cubreobjetos identificados, fijación con </w:t>
      </w:r>
      <w:r>
        <w:rPr>
          <w:rFonts w:ascii="Cambria" w:hAnsi="Cambria"/>
          <w:b/>
          <w:bCs/>
        </w:rPr>
        <w:t xml:space="preserve">bálsamo de Canadá</w:t>
      </w:r>
      <w:r>
        <w:rPr>
          <w:rFonts w:ascii="Cambria" w:hAnsi="Cambria"/>
        </w:rPr>
        <w:t xml:space="preserve"> evitando burbujas y suciedad.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interpretación de resultados se apoya en la morfología y se contrasta con la </w:t>
      </w:r>
      <w:r>
        <w:rPr>
          <w:rFonts w:ascii="Cambria" w:hAnsi="Cambria"/>
          <w:b/>
          <w:bCs/>
        </w:rPr>
        <w:t xml:space="preserve">prueba pirognóstica o de combustión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REFRACTOMETRÍA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Descripción e instrumentación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basa en la </w:t>
      </w:r>
      <w:r>
        <w:rPr>
          <w:rFonts w:ascii="Cambria" w:hAnsi="Cambria"/>
          <w:b/>
          <w:bCs/>
        </w:rPr>
        <w:t xml:space="preserve">Ley de Snell</w:t>
      </w:r>
      <w:r>
        <w:rPr>
          <w:rFonts w:ascii="Cambria" w:hAnsi="Cambria"/>
        </w:rPr>
        <w:t xml:space="preserve">: sen(I)/sen(R) = n2/n1, midiendo habitualmente con un medio 1 de aire a </w:t>
      </w:r>
      <w:r>
        <w:rPr>
          <w:rFonts w:ascii="Cambria" w:hAnsi="Cambria"/>
          <w:b/>
          <w:bCs/>
        </w:rPr>
        <w:t xml:space="preserve">1 atm y 20 ºC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ángulo límite o crítico</w:t>
      </w:r>
      <w:r>
        <w:rPr>
          <w:rFonts w:ascii="Cambria" w:hAnsi="Cambria"/>
        </w:rPr>
        <w:t xml:space="preserve"> permite conocer el índice de refracción, definido por el límite entre los campos claro y oscuro.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refractómetros pueden dar el índice de refracción o, calibrados, el contenido en </w:t>
      </w:r>
      <w:r>
        <w:rPr>
          <w:rFonts w:ascii="Cambria" w:hAnsi="Cambria"/>
          <w:b/>
          <w:bCs/>
        </w:rPr>
        <w:t xml:space="preserve">grados Brix</w:t>
      </w:r>
      <w:r>
        <w:rPr>
          <w:rFonts w:ascii="Cambria" w:hAnsi="Cambria"/>
        </w:rPr>
        <w:t xml:space="preserve">, correspondiendo un grado Brix al IR de una solución de sacarosa al </w:t>
      </w:r>
      <w:r>
        <w:rPr>
          <w:rFonts w:ascii="Cambria" w:hAnsi="Cambria"/>
          <w:b/>
          <w:bCs/>
        </w:rPr>
        <w:t xml:space="preserve">1 %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Muy utilizada para determinar sólidos solubles en zumos, concentrados de frutas, líquidos de cobertura, jaleas y mermeladas. La medida depende de la temperatura, que debe indicarse siempre.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de refractómetros: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 inmersión</w:t>
      </w:r>
      <w:r>
        <w:rPr>
          <w:rFonts w:ascii="Cambria" w:hAnsi="Cambria"/>
        </w:rPr>
        <w:t xml:space="preserve">: para grandes cantidades de líquido, con el prisma sumergido directamente en la muestra.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 Abbé</w:t>
      </w:r>
      <w:r>
        <w:rPr>
          <w:rFonts w:ascii="Cambria" w:hAnsi="Cambria"/>
        </w:rPr>
        <w:t xml:space="preserve">: el más utilizado por su amplitud de escala, sencillez, fácil manipulación, poca muestra necesaria y uso de luz blanca ordinaria, con lectura del IR entre </w:t>
      </w:r>
      <w:r>
        <w:rPr>
          <w:rFonts w:ascii="Cambria" w:hAnsi="Cambria"/>
          <w:b/>
          <w:bCs/>
        </w:rPr>
        <w:t xml:space="preserve">1,3 y 1,7</w:t>
      </w:r>
      <w:r>
        <w:rPr>
          <w:rFonts w:ascii="Cambria" w:hAnsi="Cambria"/>
        </w:rPr>
        <w:t xml:space="preserve"> a 20 ºC.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Calibración del instrumental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Cada uso</w:t>
      </w:r>
      <w:r>
        <w:rPr>
          <w:rFonts w:ascii="Cambria" w:hAnsi="Cambria"/>
        </w:rPr>
        <w:t xml:space="preserve">: verificación con agua destilada (IR a 20 ºC: </w:t>
      </w:r>
      <w:r>
        <w:rPr>
          <w:rFonts w:ascii="Cambria" w:hAnsi="Cambria"/>
          <w:b/>
          <w:bCs/>
        </w:rPr>
        <w:t xml:space="preserve">1,3330</w:t>
      </w:r>
      <w:r>
        <w:rPr>
          <w:rFonts w:ascii="Cambria" w:hAnsi="Cambria"/>
        </w:rPr>
        <w:t xml:space="preserve">. A 25 ºC: </w:t>
      </w:r>
      <w:r>
        <w:rPr>
          <w:rFonts w:ascii="Cambria" w:hAnsi="Cambria"/>
          <w:b/>
          <w:bCs/>
        </w:rPr>
        <w:t xml:space="preserve">1,3325 ± 0,0002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Trimestral</w:t>
      </w:r>
      <w:r>
        <w:rPr>
          <w:rFonts w:ascii="Cambria" w:hAnsi="Cambria"/>
        </w:rPr>
        <w:t xml:space="preserve">: calibración de la escala con patrones de referencia certificados.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Aplicaciones en el ámbito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Cualitativas</w:t>
      </w:r>
      <w:r>
        <w:rPr>
          <w:rFonts w:ascii="Cambria" w:hAnsi="Cambria"/>
        </w:rPr>
        <w:t xml:space="preserve">: el IR, junto con densidad y punto de ebullición, sirve como criterio de pureza en aceites esenciales, aceites y alcoholes.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Cuantitativas</w:t>
      </w:r>
      <w:r>
        <w:rPr>
          <w:rFonts w:ascii="Cambria" w:hAnsi="Cambria"/>
        </w:rPr>
        <w:t xml:space="preserve">: determinación de concentración de azúcar en mieles, mermeladas, confituras, zumos y jarabes, así como el aguado de la leche, el contenido de agua de la miel y el contenido en alcohol de aguardientes, cervezas y licores.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POLARIMETRÍA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Descripción e instrumentación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Mide la </w:t>
      </w:r>
      <w:r>
        <w:rPr>
          <w:rFonts w:ascii="Cambria" w:hAnsi="Cambria"/>
          <w:b/>
          <w:bCs/>
        </w:rPr>
        <w:t xml:space="preserve">actividad óptica</w:t>
      </w:r>
      <w:r>
        <w:rPr>
          <w:rFonts w:ascii="Cambria" w:hAnsi="Cambria"/>
        </w:rPr>
        <w:t xml:space="preserve"> de las sustancias: el ángulo de rotación de la luz polarizada es proporcional a la concentración, aplicándose ampliamente a la determinación de azúcares.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Una sustancia ópticamente activa gira el plano de luz a la derecha (</w:t>
      </w:r>
      <w:r>
        <w:rPr>
          <w:rFonts w:ascii="Cambria" w:hAnsi="Cambria"/>
          <w:b/>
          <w:bCs/>
        </w:rPr>
        <w:t xml:space="preserve">dextrógira</w:t>
      </w:r>
      <w:r>
        <w:rPr>
          <w:rFonts w:ascii="Cambria" w:hAnsi="Cambria"/>
        </w:rPr>
        <w:t xml:space="preserve">) o a la izquierda (</w:t>
      </w:r>
      <w:r>
        <w:rPr>
          <w:rFonts w:ascii="Cambria" w:hAnsi="Cambria"/>
          <w:b/>
          <w:bCs/>
        </w:rPr>
        <w:t xml:space="preserve">levógira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emplea también en la caracterización de aceites esenciales y la identificación de hidratos de carbono, como sacarosa, fructosa y glucosa.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Cubetas habituales de </w:t>
      </w:r>
      <w:r>
        <w:rPr>
          <w:rFonts w:ascii="Cambria" w:hAnsi="Cambria"/>
          <w:b/>
          <w:bCs/>
        </w:rPr>
        <w:t xml:space="preserve">10 cm</w:t>
      </w:r>
      <w:r>
        <w:rPr>
          <w:rFonts w:ascii="Cambria" w:hAnsi="Cambria"/>
        </w:rPr>
        <w:t xml:space="preserve">, o de 5, 2 o 1 cm si la desviación es muy elevada.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Instrumentos: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Polarímetro</w:t>
      </w:r>
      <w:r>
        <w:rPr>
          <w:rFonts w:ascii="Cambria" w:hAnsi="Cambria"/>
        </w:rPr>
        <w:t xml:space="preserve">: mide la actividad óptica mediante un polarizador y un analizador, prismas de Nicol pegados con bálsamo de Canadá.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Sacarímetro</w:t>
      </w:r>
      <w:r>
        <w:rPr>
          <w:rFonts w:ascii="Cambria" w:hAnsi="Cambria"/>
        </w:rPr>
        <w:t xml:space="preserve">: opera con el peso normal de cada azúcar.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Calibración del instrumental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Cada uso</w:t>
      </w:r>
      <w:r>
        <w:rPr>
          <w:rFonts w:ascii="Cambria" w:hAnsi="Cambria"/>
        </w:rPr>
        <w:t xml:space="preserve">: determinación del cero, con blanco de tubo vacío para líquidos o lleno de disolvente para sólidos.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Trimestral</w:t>
      </w:r>
      <w:r>
        <w:rPr>
          <w:rFonts w:ascii="Cambria" w:hAnsi="Cambria"/>
        </w:rPr>
        <w:t xml:space="preserve">: determinación del ángulo de rotación específica de la sacarosa y comprobación de la linealidad de la escala con disoluciones patrón de dextrosa o sacarosa al </w:t>
      </w:r>
      <w:r>
        <w:rPr>
          <w:rFonts w:ascii="Cambria" w:hAnsi="Cambria"/>
          <w:b/>
          <w:bCs/>
        </w:rPr>
        <w:t xml:space="preserve">1, 5, 10 y 15 %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Aplicación en el ámbito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Criterio de pureza en sustancias con actividad óptica, al distinguir enantiómeros dextro y levo indistinguibles por otras propiedades químicas.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la concentración de sustancias ópticamente activas, en particular azúcares, mediante sacarímetros.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sacarosa por inversión del azúcar, aprovechando el cambio de rotación de dextrógira a levógira tras el desdoblamiento en glucosa y fructosa en medio ácido.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Microscopía, refractometría y polarimetría mantienen plena vigencia en el control oficial por su rapidez, bajo coste y fiabilidad, pese a su sencillez frente a otras técnicas instrumentales.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microscopía destaca por su doble aplicación alimentaria, en la detección de adulteraciones como las del azafrán, e industrial, en la identificación de fibras textiles.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refractometría es técnica de referencia para el control rápido de sólidos solubles, y la polarimetría conserva su papel en la determinación de azúcares y en la detección de fraudes por sustitución de sacarosa.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37 – Técnicas ópticas. Microscopía. Fundamento y aplicaciones. Especial referencia a la identificación de fibras textiles. Refractometría. Fundamento y aplicación en el ámbito alimentario.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