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1. INTRODUCCIÓN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Gran parte de la labor del </w:t>
      </w:r>
      <w:r>
        <w:rPr>
          <w:rFonts w:ascii="Cambria" w:hAnsi="Cambria"/>
          <w:b/>
          <w:bCs/>
        </w:rPr>
        <w:t xml:space="preserve">Servicio de Inspección SOIVRE</w:t>
      </w:r>
      <w:r>
        <w:rPr>
          <w:rFonts w:ascii="Cambria" w:hAnsi="Cambria"/>
        </w:rPr>
        <w:t xml:space="preserve"> se desarrolla en los laboratorios de su Red, algunos acreditados por la </w:t>
      </w:r>
      <w:r>
        <w:rPr>
          <w:rFonts w:ascii="Cambria" w:hAnsi="Cambria"/>
          <w:b/>
          <w:bCs/>
        </w:rPr>
        <w:t xml:space="preserve">Entidad Nacional de Acreditación (ENAC)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Laboratorios SOIVRE están acreditados según la </w:t>
      </w:r>
      <w:r>
        <w:rPr>
          <w:rFonts w:ascii="Cambria" w:hAnsi="Cambria"/>
          <w:b/>
          <w:bCs/>
        </w:rPr>
        <w:t xml:space="preserve">Norma UNE-EN ISO/IEC 17025:2017</w:t>
      </w:r>
      <w:r>
        <w:rPr>
          <w:rFonts w:ascii="Cambria" w:hAnsi="Cambria"/>
        </w:rPr>
        <w:t xml:space="preserve">, que: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Regula la implantación de un Sistema de Gestión de la Calidad en laboratorios de ensayo y calibración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Establece los requisitos para demostrar la competencia en la realización de ensayos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ENAC</w:t>
      </w:r>
      <w:r>
        <w:rPr>
          <w:rFonts w:ascii="Cambria" w:hAnsi="Cambria"/>
        </w:rPr>
        <w:t xml:space="preserve"> es una asociación sin ánimo de lucro declarada, según el </w:t>
      </w:r>
      <w:r>
        <w:rPr>
          <w:rFonts w:ascii="Cambria" w:hAnsi="Cambria"/>
          <w:b/>
          <w:bCs/>
        </w:rPr>
        <w:t xml:space="preserve">Real Decreto 1715/2010</w:t>
      </w:r>
      <w:r>
        <w:rPr>
          <w:rFonts w:ascii="Cambria" w:hAnsi="Cambria"/>
        </w:rPr>
        <w:t xml:space="preserve">, único organismo con potestad pública para otorgar acreditaciones conforme al </w:t>
      </w:r>
      <w:r>
        <w:rPr>
          <w:rFonts w:ascii="Cambria" w:hAnsi="Cambria"/>
          <w:b/>
          <w:bCs/>
        </w:rPr>
        <w:t xml:space="preserve">Reglamento (CE) 765/2008</w:t>
      </w:r>
      <w:r>
        <w:rPr>
          <w:rFonts w:ascii="Cambria" w:hAnsi="Cambria"/>
        </w:rPr>
        <w:t xml:space="preserve">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Marcas de ENAC (Ensayos, Inspección, Calibración, Verificación Medioambiental, Certificación, Inter-comparaciones, Verificación de emisiones) cuentan con el respaldo de Acuerdos Multilaterales de Reconocimiento suscritos por más de </w:t>
      </w:r>
      <w:r>
        <w:rPr>
          <w:rFonts w:ascii="Cambria" w:hAnsi="Cambria"/>
          <w:b/>
          <w:bCs/>
        </w:rPr>
        <w:t xml:space="preserve">120 países</w:t>
      </w:r>
      <w:r>
        <w:rPr>
          <w:rFonts w:ascii="Cambria" w:hAnsi="Cambria"/>
        </w:rPr>
        <w:t xml:space="preserve">, gestionados por </w:t>
      </w:r>
      <w:r>
        <w:rPr>
          <w:rFonts w:ascii="Cambria" w:hAnsi="Cambria"/>
          <w:b/>
          <w:bCs/>
        </w:rPr>
        <w:t xml:space="preserve">EA</w:t>
      </w:r>
      <w:r>
        <w:rPr>
          <w:rFonts w:ascii="Cambria" w:hAnsi="Cambria"/>
        </w:rPr>
        <w:t xml:space="preserve"> (European Cooperation for Accreditation) y </w:t>
      </w:r>
      <w:r>
        <w:rPr>
          <w:rFonts w:ascii="Cambria" w:hAnsi="Cambria"/>
          <w:b/>
          <w:bCs/>
        </w:rPr>
        <w:t xml:space="preserve">Global Accreditation Cooperation Incorporated (Global ACI)</w:t>
      </w:r>
      <w:r>
        <w:rPr>
          <w:rFonts w:ascii="Cambria" w:hAnsi="Cambria"/>
        </w:rPr>
        <w:t xml:space="preserve">, resultante desde el </w:t>
      </w:r>
      <w:r>
        <w:rPr>
          <w:rFonts w:ascii="Cambria" w:hAnsi="Cambria"/>
          <w:b/>
          <w:bCs/>
        </w:rPr>
        <w:t xml:space="preserve">1 de enero de 2026</w:t>
      </w:r>
      <w:r>
        <w:rPr>
          <w:rFonts w:ascii="Cambria" w:hAnsi="Cambria"/>
        </w:rPr>
        <w:t xml:space="preserve"> de la fusión entre ILAC e IAF.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Red de Laboratorios SOIVRE consta de </w:t>
      </w:r>
      <w:r>
        <w:rPr>
          <w:rFonts w:ascii="Cambria" w:hAnsi="Cambria"/>
          <w:b/>
          <w:bCs/>
        </w:rPr>
        <w:t xml:space="preserve">16 laboratorios de ensayo</w:t>
      </w:r>
      <w:r>
        <w:rPr>
          <w:rFonts w:ascii="Cambria" w:hAnsi="Cambria"/>
        </w:rPr>
        <w:t xml:space="preserve"> en la red periférica (entre otros, Vigo, Bilbao, Pamplona, Figueras, Barcelona, Valencia, Alicante, Murcia, Almería, Málaga, Sevilla, Algeciras, Huelva, Tenerife, Las Palmas y Madrid-Barajas) y un </w:t>
      </w:r>
      <w:r>
        <w:rPr>
          <w:rFonts w:ascii="Cambria" w:hAnsi="Cambria"/>
          <w:b/>
          <w:bCs/>
        </w:rPr>
        <w:t xml:space="preserve">Laboratorio Central en Madrid</w:t>
      </w:r>
      <w:r>
        <w:rPr>
          <w:rFonts w:ascii="Cambria" w:hAnsi="Cambria"/>
        </w:rPr>
        <w:t xml:space="preserve">, acreditado, encuadrado en la Subdirección General de Inspección, Certificación y Asistencia Técnica de Comercio Exterior.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 aprecia una progresiva especialización de cada laboratorio en un campo determinado.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</w:t>
      </w:r>
      <w:r>
        <w:rPr>
          <w:rFonts w:ascii="Cambria" w:hAnsi="Cambria"/>
          <w:b/>
          <w:bCs/>
        </w:rPr>
        <w:t xml:space="preserve">Laboratorio Central SOIVRE</w:t>
      </w:r>
      <w:r>
        <w:rPr>
          <w:rFonts w:ascii="Cambria" w:hAnsi="Cambria"/>
        </w:rPr>
        <w:t xml:space="preserve"> (Centro Analítico de Inspección y Control de la Calidad del Comercio Exterior), creado en </w:t>
      </w:r>
      <w:r>
        <w:rPr>
          <w:rFonts w:ascii="Cambria" w:hAnsi="Cambria"/>
          <w:b/>
          <w:bCs/>
        </w:rPr>
        <w:t xml:space="preserve">1989</w:t>
      </w:r>
      <w:r>
        <w:rPr>
          <w:rFonts w:ascii="Cambria" w:hAnsi="Cambria"/>
        </w:rPr>
        <w:t xml:space="preserve">, coordina la red periférica, las aplicaciones informáticas, las adquisiciones de material, el asesoramiento técnico y de seguridad, la formación, el apoyo documental y el programa de acreditación.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Un laboratorio analítico debe garantizar datos de alta calidad mediante un </w:t>
      </w:r>
      <w:r>
        <w:rPr>
          <w:rFonts w:ascii="Cambria" w:hAnsi="Cambria"/>
          <w:b/>
          <w:bCs/>
        </w:rPr>
        <w:t xml:space="preserve">control de calidad</w:t>
      </w:r>
      <w:r>
        <w:rPr>
          <w:rFonts w:ascii="Cambria" w:hAnsi="Cambria"/>
        </w:rPr>
        <w:t xml:space="preserve"> planificado y documentado, conjunto de medidas para conservar la fiabilidad de un método analítico.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Tipos de control de calidad: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Interno o intralaboratorio</w:t>
      </w:r>
      <w:r>
        <w:rPr>
          <w:rFonts w:ascii="Cambria" w:hAnsi="Cambria"/>
        </w:rPr>
        <w:t xml:space="preserve">: evaluación diaria de la fiabilidad de las determinaciones rutinarias, con tres fases: preanalítica (toma y tratamiento de muestras), analítica (validación de métodos, muestras de control, gráficos de control) y postanalítica (procesamiento estadístico y archivo)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Externo o interlaboratorio</w:t>
      </w:r>
      <w:r>
        <w:rPr>
          <w:rFonts w:ascii="Cambria" w:hAnsi="Cambria"/>
        </w:rPr>
        <w:t xml:space="preserve">: participación en pruebas de intercomparación entre laboratorios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2. FUNDAMENTOS GENERALES DE LA ESPECTROMETRÍA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ondas electromagnéticas transmiten energía propia a los receptores en su propagación.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Interacciones materia-radiación sin intercambio de energía: difracción, refracción, rotación óptica.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Interacciones con intercambio de energía (relevantes analíticamente): absorbancia UV/V, fluorescencia/fosforescencia y reacción fotoquímica.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especies absorben energía pasando de estado fundamental a excitado, y al regresar desprenden la energía sobrante. La relación energía-frecuencia sigue la </w:t>
      </w:r>
      <w:r>
        <w:rPr>
          <w:rFonts w:ascii="Cambria" w:hAnsi="Cambria"/>
          <w:b/>
          <w:bCs/>
        </w:rPr>
        <w:t xml:space="preserve">ecuación de Planck</w:t>
      </w:r>
      <w:r>
        <w:rPr>
          <w:rFonts w:ascii="Cambria" w:hAnsi="Cambria"/>
        </w:rPr>
        <w:t xml:space="preserve">: ΔE = h · ν.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transiciones electrónicas requieren más energía que las vibracionales y rotacionales.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Principales técnicas espectrofotométricas: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UV/V</w:t>
      </w:r>
      <w:r>
        <w:rPr>
          <w:rFonts w:ascii="Cambria" w:hAnsi="Cambria"/>
        </w:rPr>
        <w:t xml:space="preserve">: radiación UV (200-400 nm) o visible (400-700 nm), transición de electrones de valencia por absorción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Fluorescencia molecular</w:t>
      </w:r>
      <w:r>
        <w:rPr>
          <w:rFonts w:ascii="Cambria" w:hAnsi="Cambria"/>
        </w:rPr>
        <w:t xml:space="preserve">: mide la intensidad de luz fluorescente emitida tras recibir radiación UV próxima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Absorción infrarroja</w:t>
      </w:r>
      <w:r>
        <w:rPr>
          <w:rFonts w:ascii="Cambria" w:hAnsi="Cambria"/>
        </w:rPr>
        <w:t xml:space="preserve">: técnica de absorción molecular, IR cercano, medio y lejano (700 nm a 1.000 µm), produce vibraciones y rotaciones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Raman</w:t>
      </w:r>
      <w:r>
        <w:rPr>
          <w:rFonts w:ascii="Cambria" w:hAnsi="Cambria"/>
        </w:rPr>
        <w:t xml:space="preserve">: mide la diferencia de longitud de onda entre radiación incidente y dispersa, similar al espectro IR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Absorción atómica</w:t>
      </w:r>
      <w:r>
        <w:rPr>
          <w:rFonts w:ascii="Cambria" w:hAnsi="Cambria"/>
        </w:rPr>
        <w:t xml:space="preserve">: mide la absorción de radiación por partículas atómicas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Emisión atómica</w:t>
      </w:r>
      <w:r>
        <w:rPr>
          <w:rFonts w:ascii="Cambria" w:hAnsi="Cambria"/>
        </w:rPr>
        <w:t xml:space="preserve">: mide la radiación emitida por partículas atómicas, usada para Na, K, Li y Ca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3. ESPECTROFOTOMETRÍA UV/VIS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 basa en la propiedad de ciertas sustancias con grupos cromóforos de absorber radiación UV o visible, permitiendo determinar concentración e identificar características.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3.1. Instrumentación y metodología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Fuente de radiación</w:t>
      </w:r>
      <w:r>
        <w:rPr>
          <w:rFonts w:ascii="Cambria" w:hAnsi="Cambria"/>
        </w:rPr>
        <w:t xml:space="preserve">: continua y estable, lámparas de arco de deuterio (UV) y de vidrio halógeno de wolframio (visible)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Monocromador</w:t>
      </w:r>
      <w:r>
        <w:rPr>
          <w:rFonts w:ascii="Cambria" w:hAnsi="Cambria"/>
        </w:rPr>
        <w:t xml:space="preserve">: descompone la radiación policromática, de longitud de onda fija (análisis cuantitativo) o variable/barrido (cuantitativo y cualitativo)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Celda</w:t>
      </w:r>
      <w:r>
        <w:rPr>
          <w:rFonts w:ascii="Cambria" w:hAnsi="Cambria"/>
        </w:rPr>
        <w:t xml:space="preserve">: cuarzo o sílice fundida (UV), vidrio, cuarzo o plástico (visible)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Detectores</w:t>
      </w:r>
      <w:r>
        <w:rPr>
          <w:rFonts w:ascii="Cambria" w:hAnsi="Cambria"/>
        </w:rPr>
        <w:t xml:space="preserve">: tubo fotodiodo o fotomultiplicador, o matriz de fotodiodos en equipos modernos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Registrador</w:t>
      </w:r>
      <w:r>
        <w:rPr>
          <w:rFonts w:ascii="Cambria" w:hAnsi="Cambria"/>
        </w:rPr>
        <w:t xml:space="preserve">: recoge la información en el espectrograma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instrumentos de doble haz restan la absorción del disolvente mediante celda de referencia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3.2. Procedimiento de calibración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Calibración </w:t>
      </w:r>
      <w:r>
        <w:rPr>
          <w:rFonts w:ascii="Cambria" w:hAnsi="Cambria"/>
          <w:b/>
          <w:bCs/>
        </w:rPr>
        <w:t xml:space="preserve">semestral</w:t>
      </w:r>
      <w:r>
        <w:rPr>
          <w:rFonts w:ascii="Cambria" w:hAnsi="Cambria"/>
        </w:rPr>
        <w:t xml:space="preserve">, controlando: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Exactitud y repetibilidad de la longitud de onda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Exactitud y repetibilidad fotométrica (absorbancia) en UV y visible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Límite de luz difusa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Poder de resolución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Verificación de cubetas en equipos de doble haz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3.3. Métodos de identificación y cuantificación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Identificación</w:t>
      </w:r>
      <w:r>
        <w:rPr>
          <w:rFonts w:ascii="Cambria" w:hAnsi="Cambria"/>
        </w:rPr>
        <w:t xml:space="preserve">: comparación del espectro problema con el espectro patrón, usando derivadas para resaltar diferencias entre espectros similares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Cuantificación</w:t>
      </w:r>
      <w:r>
        <w:rPr>
          <w:rFonts w:ascii="Cambria" w:hAnsi="Cambria"/>
        </w:rPr>
        <w:t xml:space="preserve">: según la </w:t>
      </w:r>
      <w:r>
        <w:rPr>
          <w:rFonts w:ascii="Cambria" w:hAnsi="Cambria"/>
          <w:b/>
          <w:bCs/>
        </w:rPr>
        <w:t xml:space="preserve">Ley de Lambert-Beer</w:t>
      </w:r>
      <w:r>
        <w:rPr>
          <w:rFonts w:ascii="Cambria" w:hAnsi="Cambria"/>
        </w:rPr>
        <w:t xml:space="preserve">: Abs = log(I₀/I) = ε · b · c, donde ε es la absortividad molar, b el espesor y c la concentración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3.4. Aplicaciones en el ámbito alimentario y de seguridad industrial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Alimentario: carnes (hidroxiprolina, nitritos y nitratos), fungicidas (ortofenilfenol, tiabendazol), aguardientes (furfural), pimentón y azafrán (poder colorante, safranal, picrocrocina), aceites esenciales (terpenos), aceites (extinción a 270 y 232 nm, delta K), bebidas alcohólicas (cafeína, quinina), abonos (Biuret, Boro soluble)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Seguridad industrial: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Cromo VI</w:t>
      </w:r>
      <w:r>
        <w:rPr>
          <w:rFonts w:ascii="Cambria" w:hAnsi="Cambria"/>
        </w:rPr>
        <w:t xml:space="preserve"> en calzado: límite ≤ </w:t>
      </w:r>
      <w:r>
        <w:rPr>
          <w:rFonts w:ascii="Cambria" w:hAnsi="Cambria"/>
          <w:b/>
          <w:bCs/>
        </w:rPr>
        <w:t xml:space="preserve">3,0 mg/kg</w:t>
      </w:r>
      <w:r>
        <w:rPr>
          <w:rFonts w:ascii="Cambria" w:hAnsi="Cambria"/>
        </w:rPr>
        <w:t xml:space="preserve"> en cuero (</w:t>
      </w:r>
      <w:r>
        <w:rPr>
          <w:rFonts w:ascii="Cambria" w:hAnsi="Cambria"/>
          <w:b/>
          <w:bCs/>
        </w:rPr>
        <w:t xml:space="preserve">Reglamento (UE) 301/2014</w:t>
      </w:r>
      <w:r>
        <w:rPr>
          <w:rFonts w:ascii="Cambria" w:hAnsi="Cambria"/>
        </w:rPr>
        <w:t xml:space="preserve">, referencia UNE-EN ISO 20345:2022) y ≤ </w:t>
      </w:r>
      <w:r>
        <w:rPr>
          <w:rFonts w:ascii="Cambria" w:hAnsi="Cambria"/>
          <w:b/>
          <w:bCs/>
        </w:rPr>
        <w:t xml:space="preserve">1,0 mg/kg</w:t>
      </w:r>
      <w:r>
        <w:rPr>
          <w:rFonts w:ascii="Cambria" w:hAnsi="Cambria"/>
        </w:rPr>
        <w:t xml:space="preserve"> en textil (</w:t>
      </w:r>
      <w:r>
        <w:rPr>
          <w:rFonts w:ascii="Cambria" w:hAnsi="Cambria"/>
          <w:b/>
          <w:bCs/>
        </w:rPr>
        <w:t xml:space="preserve">Reglamento (UE) 2018/1513</w:t>
      </w:r>
      <w:r>
        <w:rPr>
          <w:rFonts w:ascii="Cambria" w:hAnsi="Cambria"/>
        </w:rPr>
        <w:t xml:space="preserve">)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Formaldehído</w:t>
      </w:r>
      <w:r>
        <w:rPr>
          <w:rFonts w:ascii="Cambria" w:hAnsi="Cambria"/>
        </w:rPr>
        <w:t xml:space="preserve"> en utensilios de melamina, regulado por el </w:t>
      </w:r>
      <w:r>
        <w:rPr>
          <w:rFonts w:ascii="Cambria" w:hAnsi="Cambria"/>
          <w:b/>
          <w:bCs/>
        </w:rPr>
        <w:t xml:space="preserve">Reglamento (UE) 10/2011</w:t>
      </w:r>
      <w:r>
        <w:rPr>
          <w:rFonts w:ascii="Cambria" w:hAnsi="Cambria"/>
        </w:rPr>
        <w:t xml:space="preserve"> (materiales en contacto con alimentos) y el </w:t>
      </w:r>
      <w:r>
        <w:rPr>
          <w:rFonts w:ascii="Cambria" w:hAnsi="Cambria"/>
          <w:b/>
          <w:bCs/>
        </w:rPr>
        <w:t xml:space="preserve">Reglamento (UE) 284/2011</w:t>
      </w:r>
      <w:r>
        <w:rPr>
          <w:rFonts w:ascii="Cambria" w:hAnsi="Cambria"/>
        </w:rPr>
        <w:t xml:space="preserve"> (límite de migración de </w:t>
      </w:r>
      <w:r>
        <w:rPr>
          <w:rFonts w:ascii="Cambria" w:hAnsi="Cambria"/>
          <w:b/>
          <w:bCs/>
        </w:rPr>
        <w:t xml:space="preserve">15 mg/kg</w:t>
      </w:r>
      <w:r>
        <w:rPr>
          <w:rFonts w:ascii="Cambria" w:hAnsi="Cambria"/>
        </w:rPr>
        <w:t xml:space="preserve"> para poliamida y melamina de China y Hong Kong)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4. ESPECTROMETRÍA DE ABSORCIÓN Y EMISIÓN ATÓMICA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4.1. Espectrometría de emisión atómica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Una muestra gaseosa excitada emite radiación al regresar al estado fundamental, dispersada por un monocromador, obteniéndose un espectro de líneas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instrumentación consta de fuente de excitación, monocromador y detector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Fuentes de excitación: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Llama</w:t>
      </w:r>
      <w:r>
        <w:rPr>
          <w:rFonts w:ascii="Cambria" w:hAnsi="Cambria"/>
        </w:rPr>
        <w:t xml:space="preserve"> (fotometría de llama): mezcla de gas combustible y oxidante, muestra líquida nebulizada, espectros sencillos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Arco y chispa eléctrica</w:t>
      </w:r>
      <w:r>
        <w:rPr>
          <w:rFonts w:ascii="Cambria" w:hAnsi="Cambria"/>
        </w:rPr>
        <w:t xml:space="preserve">: entre electrodos de grafito, permite excitar más elementos, admite muestras sólidas, líquidas o gaseosas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Plasma</w:t>
      </w:r>
      <w:r>
        <w:rPr>
          <w:rFonts w:ascii="Cambria" w:hAnsi="Cambria"/>
        </w:rPr>
        <w:t xml:space="preserve">: excitación electrónica de un gas noble, temperaturas superiores a </w:t>
      </w:r>
      <w:r>
        <w:rPr>
          <w:rFonts w:ascii="Cambria" w:hAnsi="Cambria"/>
          <w:b/>
          <w:bCs/>
        </w:rPr>
        <w:t xml:space="preserve">8.000 K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Detectores: fotocélulas o fotomultiplicadores (fotometría de llama, cuantitativa) o fotográfico/fotoeléctrico (espectrometría de emisión, cualitativa)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4.2. Espectrometría de absorción atómica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Una radiación monocromática atraviesa una llama con la muestra vaporizada, y los átomos en estado fundamental absorben parte de la radiación, proceso inverso al de la emisión atómica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Instrumentación: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Fuente de emisión</w:t>
      </w:r>
      <w:r>
        <w:rPr>
          <w:rFonts w:ascii="Cambria" w:hAnsi="Cambria"/>
        </w:rPr>
        <w:t xml:space="preserve">: lámparas de descarga de cátodo hueco (ánodo de tungsteno, cátodo del elemento a analizar), o lámparas multielemento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Sistema atomizador</w:t>
      </w:r>
      <w:r>
        <w:rPr>
          <w:rFonts w:ascii="Cambria" w:hAnsi="Cambria"/>
        </w:rPr>
        <w:t xml:space="preserve">: de llama fría, de cámara de grafito (secado a 100 ºC, incineración a 800-1.000 ºC, atomización a más de 2.650 ºC), o técnicas alternativas de vapor frío (Hg) y generación de hidruros (As, Se, Te, Sb, Bi, Sn, Ge)</w:t>
      </w:r>
    </w:p>
    <w:p>
      <w:pPr>
        <w:numPr>
          <w:ilvl w:val="1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Sistemas monocromadores y detectores (tubos fotomultiplicadores)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4.3. Procedimientos de calibración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Control de desgaste de la lámpara, exactitud de la escala de longitud de onda, sensibilidad, límite de detección y cuantificación, y linealidad y precisión de la curva de calibrado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4.4. Métodos de cuantificación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Fotometría de llama</w:t>
      </w:r>
      <w:r>
        <w:rPr>
          <w:rFonts w:ascii="Cambria" w:hAnsi="Cambria"/>
        </w:rPr>
        <w:t xml:space="preserve">: técnica directa o curva de calibración, método de adición de patrón y método de patrón interno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Espectrometría de emisión atómica</w:t>
      </w:r>
      <w:r>
        <w:rPr>
          <w:rFonts w:ascii="Cambria" w:hAnsi="Cambria"/>
        </w:rPr>
        <w:t xml:space="preserve">: fundamentalmente cualitativa, comparación con espectrogramas patrón, identificando hasta </w:t>
      </w:r>
      <w:r>
        <w:rPr>
          <w:rFonts w:ascii="Cambria" w:hAnsi="Cambria"/>
          <w:b/>
          <w:bCs/>
        </w:rPr>
        <w:t xml:space="preserve">70 elementos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Espectrometría de absorción atómica</w:t>
      </w:r>
      <w:r>
        <w:rPr>
          <w:rFonts w:ascii="Cambria" w:hAnsi="Cambria"/>
        </w:rPr>
        <w:t xml:space="preserve">: eminentemente cuantitativa, aplicando la Ley de Lambert-Beer y expresando resultados en ppm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4.5. Aplicaciones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Fotometría de llama: Na en pan dietético, neutralización de la leche, control del vino por Na y K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Emisión atómica: oligoelementos en aguas minerales y metales en productos dietéticos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Absorción atómica: metales pesados (Pb, Cd, Hg) en productos de pesca, Cu, Cr, Fe en alimentos elaborados, Na, Ca, Fe, K en alimentos en general, Sn y Pb en vinos y conservas, Cu y Zn en vinagre y cerveza, Fe, Pb y Cu en aceites, Cd y Pb en cárnicos, metales pesados en aguas, aguardientes, leche y lácteos, Pb y Cd en cerámica alimentaria, y migración de As, Ba, Cd, Cr, Hg, Pb, Sb y Se en juguetes (</w:t>
      </w:r>
      <w:r>
        <w:rPr>
          <w:rFonts w:ascii="Cambria" w:hAnsi="Cambria"/>
          <w:b/>
          <w:bCs/>
        </w:rPr>
        <w:t xml:space="preserve">Norma UNE-EN 71-3:2020+A2:2024</w:t>
      </w:r>
      <w:r>
        <w:rPr>
          <w:rFonts w:ascii="Cambria" w:hAnsi="Cambria"/>
        </w:rPr>
        <w:t xml:space="preserve">)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5. ESPECTROMETRÍA DE MASAS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Una de las técnicas más utilizadas en la Red de Laboratorios SOIVRE.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5.1. Fundamento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Bombardeo de una muestra gaseosa con un haz de electrones en el espectrómetro de masas, fragmentando las moléculas en iones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Un campo eléctrico acelera los iones en función inversa de su masa, y un campo magnético los agrupa por relación masa/carga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 calculan con exactitud las masas relativas de los iones, y los aparatos de recepción eléctrica permiten el registro automático de los componentes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reproducibilidad depende de controlar cuidadosamente las condiciones de excitación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5.2. Descripción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Sistema de entrada de muestras</w:t>
      </w:r>
      <w:r>
        <w:rPr>
          <w:rFonts w:ascii="Cambria" w:hAnsi="Cambria"/>
        </w:rPr>
        <w:t xml:space="preserve">: conversión a gas por calentamiento a unos </w:t>
      </w:r>
      <w:r>
        <w:rPr>
          <w:rFonts w:ascii="Cambria" w:hAnsi="Cambria"/>
          <w:b/>
          <w:bCs/>
        </w:rPr>
        <w:t xml:space="preserve">400 ºC</w:t>
      </w:r>
      <w:r>
        <w:rPr>
          <w:rFonts w:ascii="Cambria" w:hAnsi="Cambria"/>
        </w:rPr>
        <w:t xml:space="preserve"> e ionización por bombardeo electrónico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Acelerador</w:t>
      </w:r>
      <w:r>
        <w:rPr>
          <w:rFonts w:ascii="Cambria" w:hAnsi="Cambria"/>
        </w:rPr>
        <w:t xml:space="preserve">: tres ranuras que aceleran las partículas por diferencias de potencial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Sistema separador</w:t>
      </w:r>
      <w:r>
        <w:rPr>
          <w:rFonts w:ascii="Cambria" w:hAnsi="Cambria"/>
        </w:rPr>
        <w:t xml:space="preserve">: campo magnético de alto vacío, de un solo enfoque, de sector, o de doble enfoque (preferido actualmente)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  <w:b/>
          <w:bCs/>
        </w:rPr>
        <w:t xml:space="preserve">Detector</w:t>
      </w:r>
      <w:r>
        <w:rPr>
          <w:rFonts w:ascii="Cambria" w:hAnsi="Cambria"/>
        </w:rPr>
        <w:t xml:space="preserve">: cátodo emisor de electrones, con amplificadores que producen el espectrograma de masas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espectrograma representa en abscisas el orden de llegada según masa/carga y en ordenadas la abundancia relativa, siendo el pico mayor el </w:t>
      </w:r>
      <w:r>
        <w:rPr>
          <w:rFonts w:ascii="Cambria" w:hAnsi="Cambria"/>
          <w:b/>
          <w:bCs/>
        </w:rPr>
        <w:t xml:space="preserve">pico base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5.3. Aplicaciones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Suele combinarse con cromatografía de gases o HPLC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Cualitativas: determinación del peso molecular mediante la masa patrón, determinación de la fórmula molecular e identificación de compuestos por su fragmentación patrón, usada en caracterización de polímeros y en cinética química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Cuantitativas: deducción de proporciones por intensidad relativa de picos, calibración con patrones conocidos, cuantificación de isótopos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Seguridad industrial, combinada con cromatografía de gases: biocidas como el DMF en muebles, textiles y calzado (</w:t>
      </w:r>
      <w:r>
        <w:rPr>
          <w:rFonts w:ascii="Cambria" w:hAnsi="Cambria"/>
          <w:b/>
          <w:bCs/>
        </w:rPr>
        <w:t xml:space="preserve">Reglamento (CE) 1907/2006</w:t>
      </w:r>
      <w:r>
        <w:rPr>
          <w:rFonts w:ascii="Cambria" w:hAnsi="Cambria"/>
        </w:rPr>
        <w:t xml:space="preserve">), ftalatos en juguetes, calzado y prendas, y Pentaclorofenol y sus sales en textiles (</w:t>
      </w:r>
      <w:r>
        <w:rPr>
          <w:rFonts w:ascii="Cambria" w:hAnsi="Cambria"/>
          <w:b/>
          <w:bCs/>
        </w:rPr>
        <w:t xml:space="preserve">UNE 59510:2007</w:t>
      </w:r>
      <w:r>
        <w:rPr>
          <w:rFonts w:ascii="Cambria" w:hAnsi="Cambria"/>
        </w:rPr>
        <w:t xml:space="preserve">) y calzado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6. ESPECTROMETRÍA DE INFRARROJOS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6.1. Fundamento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Técnica de absorción que utiliza la región infrarroja del espectro electromagnético para identificar compuestos o investigar la composición de una muestra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 basa en que los enlaces químicos tienen frecuencias de vibración específicas, dependientes de la geometría molecular, las masas atómicas y el acoplamiento vibracional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Para aparecer en el espectro, la vibración debe suponer un cambio en el momento dipolar. Los enlaces vibran de seis maneras: estiramiento simétrico, estiramiento asimétrico, tijera, rotación, giro y balanceo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Se transmite un rayo monocromo de luz IR y se registra la energía absorbida en un rango habitual de </w:t>
      </w:r>
      <w:r>
        <w:rPr>
          <w:rFonts w:ascii="Cambria" w:hAnsi="Cambria"/>
          <w:b/>
          <w:bCs/>
        </w:rPr>
        <w:t xml:space="preserve">4.000-400 cm⁻¹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Funciona casi exclusivamente en enlaces covalentes, con aplicación destacada en química orgánica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6.2. Preparación de la muestra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Muestras líquidas: prensadas entre placas de sal de alta pureza (NaCl), en medio anhidro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Muestras sólidas: mezcladas con sal purificada (KBr), trituradas y prensadas en pastilla translúcida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6.3. Aplicaciones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Técnica rápida y fiable en control de calidad, medidas dinámicas y análisis forense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instrumentos actuales son portátiles y permiten identificación automática mediante espectros de referencia almacenados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Uso en medición del grado de polimerización, monitoreo de CO2 en invernaderos, identificación de degradación de polímeros, determinación de alcohol en sangre e identificación de pigmentos en pinturas y manuscritos</w:t>
      </w:r>
    </w:p>
    <w:p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>
        <w:rPr>
          <w:rFonts w:ascii="Cambria" w:hAnsi="Cambria"/>
          <w:b/>
          <w:bCs/>
          <w:color w:val="auto"/>
          <w:sz w:val="24"/>
          <w:szCs w:val="24"/>
        </w:rPr>
        <w:t xml:space="preserve">6.4. Espectrometría de infrarrojos por transformada de Fourier (FTIR)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Técnica más rápida que la convencional, en la que la luz IR se guía a través de un interferómetro, obteniéndose el interferograma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transformada de Fourier de la señal produce un espectro idéntico al de la espectrometría IR dispersiva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Los equipos FTIR son más baratos, más rápidos y permiten promediar múltiples lecturas, por lo que casi todos los espectrofotómetros IR modernos son FTIR</w:t>
      </w:r>
    </w:p>
    <w:p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>
        <w:rPr>
          <w:rFonts w:ascii="Cambria" w:hAnsi="Cambria"/>
          <w:b/>
          <w:bCs/>
          <w:color w:val="auto"/>
          <w:sz w:val="28"/>
          <w:szCs w:val="28"/>
        </w:rPr>
        <w:t xml:space="preserve">7. CONCLUSIÓN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Las técnicas descritas, espectrofotometría UV/Vis, espectrometría de absorción y emisión atómica, espectrometría de masas y espectrometría de infrarrojos, comparten el fundamento de la interacción entre radiación electromagnética y materia, con respuestas complementarias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UV/Vis y la absorción atómica destacan en capacidad cuantitativa de metales pesados y compuestos cromóforos, mientras que la espectrometría de masas aporta identificación estructural, sobre todo combinada con cromatografía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La espectrometría de infrarrojos amplía las aplicaciones al control de calidad dinámico y al análisis forense</w:t>
      </w:r>
    </w:p>
    <w:p>
      <w:pPr>
        <w:numPr>
          <w:ilvl w:val="0"/>
          <w:numId w:val="1"/>
        </w:numPr>
        <w:jc w:val="both"/>
        <w:rPr>
          <w:rFonts w:ascii="Cambria" w:hAnsi="Cambria"/>
        </w:rPr>
      </w:pPr>
      <w:r>
        <w:rPr>
          <w:rFonts w:ascii="Cambria" w:hAnsi="Cambria"/>
        </w:rPr>
        <w:t xml:space="preserve">El dominio de fundamentos, instrumentación y calibración de estas técnicas es indispensable para el inspector del SOIVRE, como soporte analítico de los controles de seguridad alimentaria e industrial de la Red de Laboratorios</w:t>
      </w:r>
    </w:p>
    <w:sectPr w:rsidR="00A65383" w:rsidRPr="007114D7">
      <w:footerReference w:type="default" r:id="rId900"/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3E737" w14:textId="77777777" w:rsidR="00F85B76" w:rsidRDefault="00F85B76" w:rsidP="00F85B76">
      <w:pPr>
        <w:spacing w:after="0" w:line="240" w:lineRule="auto"/>
      </w:pPr>
      <w:r>
        <w:separator/>
      </w:r>
    </w:p>
  </w:endnote>
  <w:endnote w:type="continuationSeparator" w:id="0">
    <w:p w14:paraId="147C91B0" w14:textId="77777777" w:rsidR="00F85B76" w:rsidRDefault="00F85B76" w:rsidP="00F85B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epgina"/>
      <w:jc w:val="center"/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</w:pPr>
    <w:r>
      <w:rPr>
        <w:rFonts w:ascii="Palatino Linotype" w:eastAsia="Palatino Linotype" w:hAnsi="Palatino Linotype" w:cs="Palatino Linotype"/>
        <w:b/>
        <w:bCs/>
        <w:color w:val="000000"/>
        <w:sz w:val="24"/>
        <w:szCs w:val="24"/>
      </w:rPr>
      <w:t>SERGIO ARGUDO SANTIAGO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8BA500" w14:textId="77777777" w:rsidR="00F85B76" w:rsidRDefault="00F85B76" w:rsidP="00F85B76">
      <w:pPr>
        <w:spacing w:after="0" w:line="240" w:lineRule="auto"/>
      </w:pPr>
      <w:r>
        <w:separator/>
      </w:r>
    </w:p>
  </w:footnote>
  <w:footnote w:type="continuationSeparator" w:id="0">
    <w:p w14:paraId="5EBB74E5" w14:textId="77777777" w:rsidR="00F85B76" w:rsidRDefault="00F85B76" w:rsidP="00F85B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Encabezado"/>
      <w:jc w:val="both"/>
      <w:rPr>
        <w:rFonts w:ascii="Palatino Linotype" w:hAnsi="Palatino Linotype"/>
        <w:i/>
        <w:iCs/>
      </w:rPr>
    </w:pPr>
    <w:r>
      <w:rPr>
        <w:rFonts w:ascii="Palatino Linotype" w:hAnsi="Palatino Linotype"/>
        <w:i/>
        <w:iCs/>
      </w:rPr>
      <w:t xml:space="preserve">TEMA 39 – Técnicas espectrométricas. Fundamentos generales de la espectrometría. Especial referencia a la espectrofotometría de ultravioleta-visible, espectrometría de absorción y emisión atómica, espectrometría de masas y espectrometría de infrarrojos. Métodos de identificación y de cuantificación. Aplicaciones en el ámbito alimentario y de seguridad industrial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82A5E"/>
    <w:multiLevelType w:val="multilevel"/>
    <w:tmpl w:val="17686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BA086D"/>
    <w:multiLevelType w:val="multilevel"/>
    <w:tmpl w:val="C636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764527"/>
    <w:multiLevelType w:val="multilevel"/>
    <w:tmpl w:val="4484D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9B9671D"/>
    <w:multiLevelType w:val="multilevel"/>
    <w:tmpl w:val="FF7AB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145E70"/>
    <w:multiLevelType w:val="multilevel"/>
    <w:tmpl w:val="4CF84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082AA3"/>
    <w:multiLevelType w:val="multilevel"/>
    <w:tmpl w:val="E6004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FE72879"/>
    <w:multiLevelType w:val="multilevel"/>
    <w:tmpl w:val="C3DA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9A5A7F"/>
    <w:multiLevelType w:val="multilevel"/>
    <w:tmpl w:val="EE363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890683"/>
    <w:multiLevelType w:val="multilevel"/>
    <w:tmpl w:val="F0EA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3F2D55"/>
    <w:multiLevelType w:val="multilevel"/>
    <w:tmpl w:val="BCE41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AC63FF"/>
    <w:multiLevelType w:val="multilevel"/>
    <w:tmpl w:val="10A62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9A721B"/>
    <w:multiLevelType w:val="multilevel"/>
    <w:tmpl w:val="9654A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E9D13DD"/>
    <w:multiLevelType w:val="multilevel"/>
    <w:tmpl w:val="88A6E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62984031">
    <w:abstractNumId w:val="7"/>
  </w:num>
  <w:num w:numId="2" w16cid:durableId="936329550">
    <w:abstractNumId w:val="4"/>
  </w:num>
  <w:num w:numId="3" w16cid:durableId="11223434">
    <w:abstractNumId w:val="0"/>
  </w:num>
  <w:num w:numId="4" w16cid:durableId="1698307743">
    <w:abstractNumId w:val="12"/>
  </w:num>
  <w:num w:numId="5" w16cid:durableId="1213886216">
    <w:abstractNumId w:val="11"/>
  </w:num>
  <w:num w:numId="6" w16cid:durableId="1037045334">
    <w:abstractNumId w:val="6"/>
  </w:num>
  <w:num w:numId="7" w16cid:durableId="638070075">
    <w:abstractNumId w:val="3"/>
  </w:num>
  <w:num w:numId="8" w16cid:durableId="616715768">
    <w:abstractNumId w:val="10"/>
  </w:num>
  <w:num w:numId="9" w16cid:durableId="1616985504">
    <w:abstractNumId w:val="9"/>
  </w:num>
  <w:num w:numId="10" w16cid:durableId="1055738181">
    <w:abstractNumId w:val="8"/>
  </w:num>
  <w:num w:numId="11" w16cid:durableId="928273277">
    <w:abstractNumId w:val="1"/>
  </w:num>
  <w:num w:numId="12" w16cid:durableId="919099836">
    <w:abstractNumId w:val="2"/>
  </w:num>
  <w:num w:numId="13" w16cid:durableId="5224786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5B76"/>
    <w:rsid w:val="00457D88"/>
    <w:rsid w:val="005803BC"/>
    <w:rsid w:val="00600D28"/>
    <w:rsid w:val="00656837"/>
    <w:rsid w:val="006A0D39"/>
    <w:rsid w:val="007114D7"/>
    <w:rsid w:val="00975640"/>
    <w:rsid w:val="00A65383"/>
    <w:rsid w:val="00A8675C"/>
    <w:rsid w:val="00BB1DEC"/>
    <w:rsid w:val="00C12CFD"/>
    <w:rsid w:val="00D45530"/>
    <w:rsid w:val="00E15422"/>
    <w:rsid w:val="00E7657A"/>
    <w:rsid w:val="00EE6C5F"/>
    <w:rsid w:val="00F85B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AF6C1"/>
  <w15:chartTrackingRefBased/>
  <w15:docId w15:val="{B64D109C-3694-4C93-A841-AE8DEB4F80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5B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85B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5B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5B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5B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5B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5B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5B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5B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85B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5B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5B7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5B7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5B7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5B7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5B7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5B7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5B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5B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5B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5B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5B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5B76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F85B7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5B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5B7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5B76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5B76"/>
  </w:style>
  <w:style w:type="paragraph" w:styleId="Piedepgina">
    <w:name w:val="footer"/>
    <w:basedOn w:val="Normal"/>
    <w:link w:val="PiedepginaCar"/>
    <w:uiPriority w:val="99"/>
    <w:unhideWhenUsed/>
    <w:rsid w:val="00F85B7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5B7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90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6</Pages>
  <Words>1112</Words>
  <Characters>6119</Characters>
  <Application>Microsoft Office Word</Application>
  <DocSecurity>0</DocSecurity>
  <Lines>50</Lines>
  <Paragraphs>14</Paragraphs>
  <ScaleCrop>false</ScaleCrop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9</cp:revision>
  <dcterms:created xsi:type="dcterms:W3CDTF">2025-11-21T17:54:00Z</dcterms:created>
  <dcterms:modified xsi:type="dcterms:W3CDTF">2026-01-14T14:24:00Z</dcterms:modified>
</cp:coreProperties>
</file>