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frutos secos son semillas o frutos con </w:t>
      </w:r>
      <w:r>
        <w:rPr>
          <w:rFonts w:ascii="Cambria" w:hAnsi="Cambria"/>
          <w:b/>
          <w:bCs/>
        </w:rPr>
        <w:t xml:space="preserve">escaso contenido en agua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alto contenido en grasas insaturadas</w:t>
      </w:r>
      <w:r>
        <w:rPr>
          <w:rFonts w:ascii="Cambria" w:hAnsi="Cambria"/>
        </w:rPr>
        <w:t xml:space="preserve">, con proteínas y oligoelementos relevantes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Excepción: la </w:t>
      </w:r>
      <w:r>
        <w:rPr>
          <w:rFonts w:ascii="Cambria" w:hAnsi="Cambria"/>
          <w:b/>
          <w:bCs/>
        </w:rPr>
        <w:t xml:space="preserve">castaña</w:t>
      </w:r>
      <w:r>
        <w:rPr>
          <w:rFonts w:ascii="Cambria" w:hAnsi="Cambria"/>
        </w:rPr>
        <w:t xml:space="preserve">, rica en glúcidos y pobre en lípidos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clasifican en dos grupos: </w:t>
      </w:r>
      <w:r>
        <w:rPr>
          <w:rFonts w:ascii="Cambria" w:hAnsi="Cambria"/>
          <w:b/>
          <w:bCs/>
        </w:rPr>
        <w:t xml:space="preserve">frutos de cáscara dura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frutas desecadas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abordan sus factores de calidad comercial y la normativa aplicable: </w:t>
      </w:r>
      <w:r>
        <w:rPr>
          <w:rFonts w:ascii="Cambria" w:hAnsi="Cambria"/>
          <w:b/>
          <w:bCs/>
        </w:rPr>
        <w:t xml:space="preserve">OCM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Normas de Comercialización de la UE</w:t>
      </w:r>
      <w:r>
        <w:rPr>
          <w:rFonts w:ascii="Cambria" w:hAnsi="Cambria"/>
        </w:rPr>
        <w:t xml:space="preserve">, normas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, folletos de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 y producción controlada, ecológica e integrada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PRINCIPALES PRODUCTOS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Cáscara dura</w:t>
      </w:r>
      <w:r>
        <w:rPr>
          <w:rFonts w:ascii="Cambria" w:hAnsi="Cambria"/>
        </w:rPr>
        <w:t xml:space="preserve">: almendra, pistacho, nuez, cacahuete, castaña, piñón real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Frutas desecadas</w:t>
      </w:r>
      <w:r>
        <w:rPr>
          <w:rFonts w:ascii="Cambria" w:hAnsi="Cambria"/>
        </w:rPr>
        <w:t xml:space="preserve">: uvas, albaricoque, dátiles, higos secos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Frutos de cáscara dura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Almendra</w:t>
      </w:r>
      <w:r>
        <w:rPr>
          <w:rFonts w:ascii="Cambria" w:hAnsi="Cambria"/>
        </w:rPr>
        <w:t xml:space="preserve"> (*Prunus dulcis*, Rosáceas): más de </w:t>
      </w:r>
      <w:r>
        <w:rPr>
          <w:rFonts w:ascii="Cambria" w:hAnsi="Cambria"/>
          <w:b/>
          <w:bCs/>
        </w:rPr>
        <w:t xml:space="preserve">200 variedades</w:t>
      </w:r>
      <w:r>
        <w:rPr>
          <w:rFonts w:ascii="Cambria" w:hAnsi="Cambria"/>
        </w:rPr>
        <w:t xml:space="preserve"> españolas, endocarpio duro, semiduro o mollar. Destacan Largueta, Marcona (mejor calidad, turrón), Atocha, Planeta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Avellana</w:t>
      </w:r>
      <w:r>
        <w:rPr>
          <w:rFonts w:ascii="Cambria" w:hAnsi="Cambria"/>
        </w:rPr>
        <w:t xml:space="preserve"> (*Corylus avellana*, Betuláceas): variedades Avellana Asturiana y Avellana de Tarragona (Negreta, la más exportada)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Nuez</w:t>
      </w:r>
      <w:r>
        <w:rPr>
          <w:rFonts w:ascii="Cambria" w:hAnsi="Cambria"/>
        </w:rPr>
        <w:t xml:space="preserve"> (*Juglans regia/californica*, Juglantáceas): variedades Cerda, Escrivá y Villena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Pistacho</w:t>
      </w:r>
      <w:r>
        <w:rPr>
          <w:rFonts w:ascii="Cambria" w:hAnsi="Cambria"/>
        </w:rPr>
        <w:t xml:space="preserve"> (*Pistacia vera*, Anacardiáceas): variedades americanas (Kermán) e italianas/afganas (Napoletana)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Cacahuete</w:t>
      </w:r>
      <w:r>
        <w:rPr>
          <w:rFonts w:ascii="Cambria" w:hAnsi="Cambria"/>
        </w:rPr>
        <w:t xml:space="preserve"> (*Arachis hypogaea*, Fabáceas): variedades Virginia y Española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Piñón comestible</w:t>
      </w:r>
      <w:r>
        <w:rPr>
          <w:rFonts w:ascii="Cambria" w:hAnsi="Cambria"/>
        </w:rPr>
        <w:t xml:space="preserve"> (*Pinus pinea*, Pináceas): cosecha en otoño, conservación en cámara y envasado en atmósfera inerte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Castaña</w:t>
      </w:r>
      <w:r>
        <w:rPr>
          <w:rFonts w:ascii="Cambria" w:hAnsi="Cambria"/>
        </w:rPr>
        <w:t xml:space="preserve"> (*Castanea sativa*, Fagáceas): tipos silvestre, semisilvestre, común y Marrón. Variedades Raigona y Negrales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Otros de menor peso: algarrobas (única exportación española, uso ganadero), anacardos, nuez de Brasil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y </w:t>
      </w:r>
      <w:r>
        <w:rPr>
          <w:rFonts w:ascii="Cambria" w:hAnsi="Cambria"/>
          <w:b/>
          <w:bCs/>
        </w:rPr>
        <w:t xml:space="preserve">EEUU</w:t>
      </w:r>
      <w:r>
        <w:rPr>
          <w:rFonts w:ascii="Cambria" w:hAnsi="Cambria"/>
        </w:rPr>
        <w:t xml:space="preserve"> son los grandes mercados de consumo, por alto precio, reducido volumen y fácil conservación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FAO e </w:t>
      </w:r>
      <w:r>
        <w:rPr>
          <w:rFonts w:ascii="Cambria" w:hAnsi="Cambria"/>
          <w:b/>
          <w:bCs/>
        </w:rPr>
        <w:t xml:space="preserve">INC</w:t>
      </w:r>
      <w:r>
        <w:rPr>
          <w:rFonts w:ascii="Cambria" w:hAnsi="Cambria"/>
        </w:rPr>
        <w:t xml:space="preserve">: EEUU concentra el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 de la producción de almendra, Turquía el </w:t>
      </w:r>
      <w:r>
        <w:rPr>
          <w:rFonts w:ascii="Cambria" w:hAnsi="Cambria"/>
          <w:b/>
          <w:bCs/>
        </w:rPr>
        <w:t xml:space="preserve">65-70%</w:t>
      </w:r>
      <w:r>
        <w:rPr>
          <w:rFonts w:ascii="Cambria" w:hAnsi="Cambria"/>
        </w:rPr>
        <w:t xml:space="preserve"> de avellana, China y EEUU lideran nuez, EEUU/Irán/Turquía en pistacho, China/India en cacahuete y China más del </w:t>
      </w:r>
      <w:r>
        <w:rPr>
          <w:rFonts w:ascii="Cambria" w:hAnsi="Cambria"/>
          <w:b/>
          <w:bCs/>
        </w:rPr>
        <w:t xml:space="preserve">80%</w:t>
      </w:r>
      <w:r>
        <w:rPr>
          <w:rFonts w:ascii="Cambria" w:hAnsi="Cambria"/>
        </w:rPr>
        <w:t xml:space="preserve"> en castaña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España: buena posición en almendra (mediterráneo y CLM), </w:t>
      </w:r>
      <w:r>
        <w:rPr>
          <w:rFonts w:ascii="Cambria" w:hAnsi="Cambria"/>
          <w:b/>
          <w:bCs/>
        </w:rPr>
        <w:t xml:space="preserve">tercer productor</w:t>
      </w:r>
      <w:r>
        <w:rPr>
          <w:rFonts w:ascii="Cambria" w:hAnsi="Cambria"/>
        </w:rPr>
        <w:t xml:space="preserve"> europeo de avellana (Tarragona), líder en piñón real (Girona, Valladolid), pistacho en CLM y Andalucía, </w:t>
      </w:r>
      <w:r>
        <w:rPr>
          <w:rFonts w:ascii="Cambria" w:hAnsi="Cambria"/>
          <w:b/>
          <w:bCs/>
        </w:rPr>
        <w:t xml:space="preserve">noveno productor</w:t>
      </w:r>
      <w:r>
        <w:rPr>
          <w:rFonts w:ascii="Cambria" w:hAnsi="Cambria"/>
        </w:rPr>
        <w:t xml:space="preserve"> mundial de castaña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 (2025), las exportaciones de frutos secos alcanzaron </w:t>
      </w:r>
      <w:r>
        <w:rPr>
          <w:rFonts w:ascii="Cambria" w:hAnsi="Cambria"/>
          <w:b/>
          <w:bCs/>
        </w:rPr>
        <w:t xml:space="preserve">991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+22%</w:t>
      </w:r>
      <w:r>
        <w:rPr>
          <w:rFonts w:ascii="Cambria" w:hAnsi="Cambria"/>
        </w:rPr>
        <w:t xml:space="preserve">). La almendra sin cáscara supera los </w:t>
      </w:r>
      <w:r>
        <w:rPr>
          <w:rFonts w:ascii="Cambria" w:hAnsi="Cambria"/>
          <w:b/>
          <w:bCs/>
        </w:rPr>
        <w:t xml:space="preserve">775 M€</w:t>
      </w:r>
      <w:r>
        <w:rPr>
          <w:rFonts w:ascii="Cambria" w:hAnsi="Cambria"/>
        </w:rPr>
        <w:t xml:space="preserve">, con crecimiento del </w:t>
      </w:r>
      <w:r>
        <w:rPr>
          <w:rFonts w:ascii="Cambria" w:hAnsi="Cambria"/>
          <w:b/>
          <w:bCs/>
        </w:rPr>
        <w:t xml:space="preserve">21%</w:t>
      </w:r>
      <w:r>
        <w:rPr>
          <w:rFonts w:ascii="Cambria" w:hAnsi="Cambria"/>
        </w:rPr>
        <w:t xml:space="preserve">. Avellana con cáscara </w:t>
      </w:r>
      <w:r>
        <w:rPr>
          <w:rFonts w:ascii="Cambria" w:hAnsi="Cambria"/>
          <w:b/>
          <w:bCs/>
        </w:rPr>
        <w:t xml:space="preserve">+30%</w:t>
      </w:r>
      <w:r>
        <w:rPr>
          <w:rFonts w:ascii="Cambria" w:hAnsi="Cambria"/>
        </w:rPr>
        <w:t xml:space="preserve">, piñón sin cáscara </w:t>
      </w:r>
      <w:r>
        <w:rPr>
          <w:rFonts w:ascii="Cambria" w:hAnsi="Cambria"/>
          <w:b/>
          <w:bCs/>
        </w:rPr>
        <w:t xml:space="preserve">+102%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Destinos: más del </w:t>
      </w:r>
      <w:r>
        <w:rPr>
          <w:rFonts w:ascii="Cambria" w:hAnsi="Cambria"/>
          <w:b/>
          <w:bCs/>
        </w:rPr>
        <w:t xml:space="preserve">65%</w:t>
      </w:r>
      <w:r>
        <w:rPr>
          <w:rFonts w:ascii="Cambria" w:hAnsi="Cambria"/>
        </w:rPr>
        <w:t xml:space="preserve"> a Italia, Alemania y Francia. Egipto y Suiza entre terceros países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superaron </w:t>
      </w:r>
      <w:r>
        <w:rPr>
          <w:rFonts w:ascii="Cambria" w:hAnsi="Cambria"/>
          <w:b/>
          <w:bCs/>
        </w:rPr>
        <w:t xml:space="preserve">1.000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+37%</w:t>
      </w:r>
      <w:r>
        <w:rPr>
          <w:rFonts w:ascii="Cambria" w:hAnsi="Cambria"/>
        </w:rPr>
        <w:t xml:space="preserve">), lideradas por almendra, nuez y pistacho. Principales orígenes: EEUU, Portugal y Chile (de EEUU proceden el </w:t>
      </w:r>
      <w:r>
        <w:rPr>
          <w:rFonts w:ascii="Cambria" w:hAnsi="Cambria"/>
          <w:b/>
          <w:bCs/>
        </w:rPr>
        <w:t xml:space="preserve">80%</w:t>
      </w:r>
      <w:r>
        <w:rPr>
          <w:rFonts w:ascii="Cambria" w:hAnsi="Cambria"/>
        </w:rPr>
        <w:t xml:space="preserve"> de almendra,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 nuez y </w:t>
      </w:r>
      <w:r>
        <w:rPr>
          <w:rFonts w:ascii="Cambria" w:hAnsi="Cambria"/>
          <w:b/>
          <w:bCs/>
        </w:rPr>
        <w:t xml:space="preserve">80%</w:t>
      </w:r>
      <w:r>
        <w:rPr>
          <w:rFonts w:ascii="Cambria" w:hAnsi="Cambria"/>
        </w:rPr>
        <w:t xml:space="preserve"> de pistacho)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es deficitaria en frutos secos. España es primer exportador comunitario, seguida de Alemania y Países Bajos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Frutas desecadas: exportación a Portugal, Alemania, Italia y Francia. Importación desde Turquía y Chile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Saldo global ligeramente deficitario: frutos secos con déficit superior a </w:t>
      </w:r>
      <w:r>
        <w:rPr>
          <w:rFonts w:ascii="Cambria" w:hAnsi="Cambria"/>
          <w:b/>
          <w:bCs/>
        </w:rPr>
        <w:t xml:space="preserve">70 M€</w:t>
      </w:r>
      <w:r>
        <w:rPr>
          <w:rFonts w:ascii="Cambria" w:hAnsi="Cambria"/>
        </w:rPr>
        <w:t xml:space="preserve">, frutas desecadas con superávit superior a </w:t>
      </w:r>
      <w:r>
        <w:rPr>
          <w:rFonts w:ascii="Cambria" w:hAnsi="Cambria"/>
          <w:b/>
          <w:bCs/>
        </w:rPr>
        <w:t xml:space="preserve">60 M€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calidad comercial resulta de selección, clasificación, calibrado, acondicionamiento, envasado y transporte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general: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, sobre comercialización de frutas y hortalizas, en sustitución del </w:t>
      </w:r>
      <w:r>
        <w:rPr>
          <w:rFonts w:ascii="Cambria" w:hAnsi="Cambria"/>
          <w:b/>
          <w:bCs/>
        </w:rPr>
        <w:t xml:space="preserve">Reglamento de Ejecución (UE) 543/2011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frutos de cáscara no tienen norma de calidad específica en la UE, por lo que se aplican las </w:t>
      </w:r>
      <w:r>
        <w:rPr>
          <w:rFonts w:ascii="Cambria" w:hAnsi="Cambria"/>
          <w:b/>
          <w:bCs/>
        </w:rPr>
        <w:t xml:space="preserve">normas-cuadro CEPE/ONU</w:t>
      </w:r>
      <w:r>
        <w:rPr>
          <w:rFonts w:ascii="Cambria" w:hAnsi="Cambria"/>
        </w:rPr>
        <w:t xml:space="preserve"> del Acuerdo de Ginebra de 2015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Reglamento (UE) 2023/2429 exige el </w:t>
      </w:r>
      <w:r>
        <w:rPr>
          <w:rFonts w:ascii="Cambria" w:hAnsi="Cambria"/>
          <w:b/>
          <w:bCs/>
        </w:rPr>
        <w:t xml:space="preserve">marcado obligatorio del país de origen</w:t>
      </w:r>
      <w:r>
        <w:rPr>
          <w:rFonts w:ascii="Cambria" w:hAnsi="Cambria"/>
        </w:rPr>
        <w:t xml:space="preserve"> en el etiquetado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Parámetros de la norma-cuadro CEPE/ONU: </w:t>
      </w:r>
      <w:r>
        <w:rPr>
          <w:rFonts w:ascii="Cambria" w:hAnsi="Cambria"/>
          <w:b/>
          <w:bCs/>
        </w:rPr>
        <w:t xml:space="preserve">humedad</w:t>
      </w:r>
      <w:r>
        <w:rPr>
          <w:rFonts w:ascii="Cambria" w:hAnsi="Cambria"/>
        </w:rPr>
        <w:t xml:space="preserve"> (almendra sin cáscara &lt;7%, en cáscara &lt;11%), ausencia de olores y sabores extraños, ausencia de aflatoxinas según el </w:t>
      </w:r>
      <w:r>
        <w:rPr>
          <w:rFonts w:ascii="Cambria" w:hAnsi="Cambria"/>
          <w:b/>
          <w:bCs/>
        </w:rPr>
        <w:t xml:space="preserve">Reglamento (UE) 2023/915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Factores de calidad comercial propiamente dichos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Madurez comercial</w:t>
      </w:r>
      <w:r>
        <w:rPr>
          <w:rFonts w:ascii="Cambria" w:hAnsi="Cambria"/>
        </w:rPr>
        <w:t xml:space="preserve">, ligada a oferta y demanda, puede inducir a recolección de frutos inmaduros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Defectos fisiológicos (manchas, granos vacíos), climatológicos (heladas, sequía) y de comercialización (mezcla de variedades y calibres)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Sanidad vegetal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Plagas dañinas: gusano de la castaña, polilla americana de la avellana, gorgojo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Plagas de impacto comercial: chinches, causantes de hasta 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 caída de avellana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Enfermedades: marchitez bacteriana en cacahuete, antracnosis en almendra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Sanidad humana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Aflatoxinas</w:t>
      </w:r>
      <w:r>
        <w:rPr>
          <w:rFonts w:ascii="Cambria" w:hAnsi="Cambria"/>
        </w:rPr>
        <w:t xml:space="preserve">: toxinas de *Aspergillus flavus* y *parasiticus*, en cacahuete, pistacho, nuez de Brasil e higos y albaricoques secos, con riesgo carcinógeno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almendras amargas contienen </w:t>
      </w:r>
      <w:r>
        <w:rPr>
          <w:rFonts w:ascii="Cambria" w:hAnsi="Cambria"/>
          <w:b/>
          <w:bCs/>
        </w:rPr>
        <w:t xml:space="preserve">amigdalina</w:t>
      </w:r>
      <w:r>
        <w:rPr>
          <w:rFonts w:ascii="Cambria" w:hAnsi="Cambria"/>
        </w:rPr>
        <w:t xml:space="preserve">, que libera ácido cianhídrico, por lo que su consumo directo está restringido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Política Agrícola Común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PAC 2023-2027 se articula mediante el </w:t>
      </w: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 (planes estratégicos, FEAGA y FEADER), el </w:t>
      </w: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 (financiación y gestión) y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que modifica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 de la OCM Única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Prioridades: sostenibilidad, eco-regímenes, relevo generacional, digitalización y resiliencia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2017/2393</w:t>
      </w:r>
      <w:r>
        <w:rPr>
          <w:rFonts w:ascii="Cambria" w:hAnsi="Cambria"/>
        </w:rPr>
        <w:t xml:space="preserve"> (Ómnibus) simplificó la PAC anterior: flexibilidad en la definición de agricultor activo, ayudas a jóvenes hasta 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pago básico y refuerzo de organizaciones de productores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Organización Común de Mercados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sobre unidad de mercado, solidaridad financiera y preferencia comunitaria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intervención pública, ayudas al almacenamiento privado, normas de comercialización, intercambios con terceros países y organizaciones de productores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de comercialización toman como referencia el Grupo </w:t>
      </w:r>
      <w:r>
        <w:rPr>
          <w:rFonts w:ascii="Cambria" w:hAnsi="Cambria"/>
          <w:b/>
          <w:bCs/>
        </w:rPr>
        <w:t xml:space="preserve">WP7</w:t>
      </w:r>
      <w:r>
        <w:rPr>
          <w:rFonts w:ascii="Cambria" w:hAnsi="Cambria"/>
        </w:rPr>
        <w:t xml:space="preserve"> de la CEPE/UN, recogidas en el </w:t>
      </w:r>
      <w:r>
        <w:rPr>
          <w:rFonts w:ascii="Cambria" w:hAnsi="Cambria"/>
          <w:b/>
          <w:bCs/>
        </w:rPr>
        <w:t xml:space="preserve">Reglamento Delegado (UE) 2023/2429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Estructura de las normas-cuadro del Acuerdo de Ginebra: definición, disposiciones de calidad, calibrado, tolerancias, presentación y marcado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Organizaciones de productores destacadas: </w:t>
      </w:r>
      <w:r>
        <w:rPr>
          <w:rFonts w:ascii="Cambria" w:hAnsi="Cambria"/>
          <w:b/>
          <w:bCs/>
        </w:rPr>
        <w:t xml:space="preserve">FEPEX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Almendrave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Régimen de intervención con 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, con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, eco-regímenes y </w:t>
      </w:r>
      <w:r>
        <w:rPr>
          <w:rFonts w:ascii="Cambria" w:hAnsi="Cambria"/>
          <w:b/>
          <w:bCs/>
        </w:rPr>
        <w:t xml:space="preserve">BCAM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 (WP7), voluntarias, cubren nueces, avellanas, almendras, pistachos, piñón pelado, anacardos y castañas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 elabora folletos interpretativos con textos, ilustraciones de defectos y cartas colorimétricas, destacando almendra, avellana, nuez y pistacho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: Codex Stan 197 (almendra) y códigos de prácticas contra aflatoxinas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: normas UNE de AENOR (Comité AEN/CTN 155)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, que sustituyó al Reglamento (CE) 834/2007, exige desde 2023 estándares equivalentes en terceros países. Modificado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, con controles del SOIVRE según la </w:t>
      </w:r>
      <w:r>
        <w:rPr>
          <w:rFonts w:ascii="Cambria" w:hAnsi="Cambria"/>
          <w:b/>
          <w:bCs/>
        </w:rPr>
        <w:t xml:space="preserve">Orden ECC/1936/2014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con logotipo según la </w:t>
      </w:r>
      <w:r>
        <w:rPr>
          <w:rFonts w:ascii="Cambria" w:hAnsi="Cambria"/>
          <w:b/>
          <w:bCs/>
        </w:rPr>
        <w:t xml:space="preserve">Orden APA/1/2004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, aplicado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con control de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. Ejemplos: DOP Avellana de Reus, DOP Almendra de Mallorca, IGP Pistacho de Castilla-La Mancha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Protocolos privados: Tesco Nurture, Carrefour Quality Lines, GLOBALG.A.P. y SQF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5.4.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, designa a la Secretaría de Estado de Comercio como autoridad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límites de residuos de plaguicidas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límites de contaminantes, incluidas las aflatoxinas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información al consumidor y etiquetado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envases y residuos de envases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Reglamentos (CE) 852/2004 y 853/2004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(UE) 2017/625</w:t>
      </w:r>
      <w:r>
        <w:rPr>
          <w:rFonts w:ascii="Cambria" w:hAnsi="Cambria"/>
        </w:rPr>
        <w:t xml:space="preserve">, higiene y controles oficiales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, defensa de la calidad alimentaria y régimen sancionador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, prevención de pérdidas y desperdicio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las </w:t>
      </w:r>
      <w:r>
        <w:rPr>
          <w:rFonts w:ascii="Cambria" w:hAnsi="Cambria"/>
          <w:b/>
          <w:bCs/>
        </w:rPr>
        <w:t xml:space="preserve">Órdenes ECC/2257/2013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ECC/2566/2015</w:t>
      </w:r>
      <w:r>
        <w:rPr>
          <w:rFonts w:ascii="Cambria" w:hAnsi="Cambria"/>
        </w:rPr>
        <w:t xml:space="preserve">, regula la inspección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en importación y exportación de frutos de cáscara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fundamentalmente </w:t>
      </w:r>
      <w:r>
        <w:rPr>
          <w:rFonts w:ascii="Cambria" w:hAnsi="Cambria"/>
          <w:b/>
          <w:bCs/>
        </w:rPr>
        <w:t xml:space="preserve">importador y transformador</w:t>
      </w:r>
      <w:r>
        <w:rPr>
          <w:rFonts w:ascii="Cambria" w:hAnsi="Cambria"/>
        </w:rPr>
        <w:t xml:space="preserve">, con balanza deficitaria, salvo en almendra, donde la variedad Marcona sostiene un nicho exportador de alto valor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UE-Mercosur</w:t>
      </w:r>
      <w:r>
        <w:rPr>
          <w:rFonts w:ascii="Cambria" w:hAnsi="Cambria"/>
        </w:rPr>
        <w:t xml:space="preserve"> intensificará la presión competitiva, dado que Argentina y Brasil son productores relevantes de nuez y cacahuete con menores costes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exigencias sobre aflatoxinas del </w:t>
      </w: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 son más estrictas que en Mercosur, generando una asimetría regulatoria a vigilar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deberá reforzar la diferenciación por calidad, origen y variedad autóctona, exigiendo equivalencia sanitaria a terceros países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 – Sector de frutos secos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