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Parte de la labor del </w:t>
      </w:r>
      <w:r>
        <w:rPr>
          <w:rFonts w:ascii="Cambria" w:hAnsi="Cambria"/>
          <w:b/>
          <w:bCs/>
        </w:rPr>
        <w:t xml:space="preserve">Servicio de Inspección SOIVRE</w:t>
      </w:r>
      <w:r>
        <w:rPr>
          <w:rFonts w:ascii="Cambria" w:hAnsi="Cambria"/>
        </w:rPr>
        <w:t xml:space="preserve"> se desarrolla en la </w:t>
      </w:r>
      <w:r>
        <w:rPr>
          <w:rFonts w:ascii="Cambria" w:hAnsi="Cambria"/>
          <w:b/>
          <w:bCs/>
        </w:rPr>
        <w:t xml:space="preserve">Red de Laboratorios del SOIVRE</w:t>
      </w:r>
      <w:r>
        <w:rPr>
          <w:rFonts w:ascii="Cambria" w:hAnsi="Cambria"/>
        </w:rPr>
        <w:t xml:space="preserve">, acreditados según la </w:t>
      </w:r>
      <w:r>
        <w:rPr>
          <w:rFonts w:ascii="Cambria" w:hAnsi="Cambria"/>
          <w:b/>
          <w:bCs/>
        </w:rPr>
        <w:t xml:space="preserve">Norma UNE-EN ISO/IEC 17025:2017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 el Sistema de Gestión de la Calidad en laboratorios de ensayo y calibración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los requisitos para demostrar competencia técnica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es la única entidad con potestad pública para otorgar acreditaciones, según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(CE) 765/2008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Sus marcas cuentan con el respaldo de Acuerdos Multilaterales de Reconocimiento, gestionados por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Global ACI</w:t>
      </w:r>
      <w:r>
        <w:rPr>
          <w:rFonts w:ascii="Cambria" w:hAnsi="Cambria"/>
        </w:rPr>
        <w:t xml:space="preserve"> (fusión de ILAC e IAF)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Red consta de </w:t>
      </w:r>
      <w:r>
        <w:rPr>
          <w:rFonts w:ascii="Cambria" w:hAnsi="Cambria"/>
          <w:b/>
          <w:bCs/>
        </w:rPr>
        <w:t xml:space="preserve">16 laboratorios periféricos</w:t>
      </w:r>
      <w:r>
        <w:rPr>
          <w:rFonts w:ascii="Cambria" w:hAnsi="Cambria"/>
        </w:rPr>
        <w:t xml:space="preserve"> y un </w:t>
      </w:r>
      <w:r>
        <w:rPr>
          <w:rFonts w:ascii="Cambria" w:hAnsi="Cambria"/>
          <w:b/>
          <w:bCs/>
        </w:rPr>
        <w:t xml:space="preserve">Laboratorio Central</w:t>
      </w:r>
      <w:r>
        <w:rPr>
          <w:rFonts w:ascii="Cambria" w:hAnsi="Cambria"/>
        </w:rPr>
        <w:t xml:space="preserve"> en Madrid, acreditado, dependientes de la Subdirección General de Inspección, Certificación y Asistencia Técnica de Comercio Exterior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Laboratorio Central (creado en </w:t>
      </w:r>
      <w:r>
        <w:rPr>
          <w:rFonts w:ascii="Cambria" w:hAnsi="Cambria"/>
          <w:b/>
          <w:bCs/>
        </w:rPr>
        <w:t xml:space="preserve">1989</w:t>
      </w:r>
      <w:r>
        <w:rPr>
          <w:rFonts w:ascii="Cambria" w:hAnsi="Cambria"/>
        </w:rPr>
        <w:t xml:space="preserve">) coordina la red, gestiona adquisiciones, asesora sobre reactivos y calibración, forma personal y coordina el programa de acreditación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control de calidad</w:t>
      </w:r>
      <w:r>
        <w:rPr>
          <w:rFonts w:ascii="Cambria" w:hAnsi="Cambria"/>
        </w:rPr>
        <w:t xml:space="preserve"> puede ser interno (intralaboratorio, con fases preanalítica, analítica y postanalítica) o externo (interlaboratorio, mediante intercomparaciones)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ELECTROFORESIS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Fundamento y descripción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Técnica instrumental que separa componentes de mezclas de macromoléculas y coloides en función de su carga eléctrica ante un campo eléctrico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carga puede originarse por ionización de la molécula, frotamiento con el líquido o adsorción de iones del medio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deposita la mezcla sobre un soporte poroso empapado en una disolución de fondo o electrolito y se aplica el campo eléctrico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Tipos de electroforesis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Microelectroforesis</w:t>
      </w:r>
      <w:r>
        <w:rPr>
          <w:rFonts w:ascii="Cambria" w:hAnsi="Cambria"/>
        </w:rPr>
        <w:t xml:space="preserve">: observación al microscopio del movimiento de partículas, útil para determinar puntos isoeléctricos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Electroforesis de límite móvil</w:t>
      </w:r>
      <w:r>
        <w:rPr>
          <w:rFonts w:ascii="Cambria" w:hAnsi="Cambria"/>
        </w:rPr>
        <w:t xml:space="preserve">: en tubo en U, apenas usada porque el coloide se remezcla por difusión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Electroforesis de zona</w:t>
      </w:r>
      <w:r>
        <w:rPr>
          <w:rFonts w:ascii="Cambria" w:hAnsi="Cambria"/>
        </w:rPr>
        <w:t xml:space="preserve">: la más utilizada, sobre soporte sólido que evita la remezcla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Inmunoelectroforesis</w:t>
      </w:r>
      <w:r>
        <w:rPr>
          <w:rFonts w:ascii="Cambria" w:hAnsi="Cambria"/>
        </w:rPr>
        <w:t xml:space="preserve">: combina electroforesis con inmunodifusión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Electroforesis preparativa</w:t>
      </w:r>
      <w:r>
        <w:rPr>
          <w:rFonts w:ascii="Cambria" w:hAnsi="Cambria"/>
        </w:rPr>
        <w:t xml:space="preserve">: para obtener cantidades apreciables de proteínas y aminoácidos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ENFOQUE ISOELÉCTRICO O ISOELECTROENFOQUE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Fundamento y descripción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Variante de la electroforesis en la que la separación se realiza sobre un gradiente de pH continuo, estable y lineal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Cada molécula anfolítica migra hasta alcanzar el pH que coincide con su </w:t>
      </w:r>
      <w:r>
        <w:rPr>
          <w:rFonts w:ascii="Cambria" w:hAnsi="Cambria"/>
          <w:b/>
          <w:bCs/>
        </w:rPr>
        <w:t xml:space="preserve">punto isoeléctrico</w:t>
      </w:r>
      <w:r>
        <w:rPr>
          <w:rFonts w:ascii="Cambria" w:hAnsi="Cambria"/>
        </w:rPr>
        <w:t xml:space="preserve">, donde deja de tener carga neta y se concentra en una banda estrecha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Formas de generar el gradiente de pH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Mezclas de anfolitos sintéticos, las más usadas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Mezclas de péptidos, ácidos o bases débiles, o gradientes térmicos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Gradientes de pH inmovilizados o inmovilinas, fijados en el gel durante su polimerización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Soportes habituales: acetato de celulosa, geles de poliacrilamida y gradientes de densidad de sacarosa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Combinado con electroforesis en gel SDS da lugar a la </w:t>
      </w:r>
      <w:r>
        <w:rPr>
          <w:rFonts w:ascii="Cambria" w:hAnsi="Cambria"/>
          <w:b/>
          <w:bCs/>
        </w:rPr>
        <w:t xml:space="preserve">electroforesis bidimensional</w:t>
      </w:r>
      <w:r>
        <w:rPr>
          <w:rFonts w:ascii="Cambria" w:hAnsi="Cambria"/>
        </w:rPr>
        <w:t xml:space="preserve">, de mayor resolución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MÉTODOS DE DETECCIÓN Y APLICACIONES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Métodos de detección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Tinción con azul de Coomassie</w:t>
      </w:r>
      <w:r>
        <w:rPr>
          <w:rFonts w:ascii="Cambria" w:hAnsi="Cambria"/>
        </w:rPr>
        <w:t xml:space="preserve">: detecta hasta 0,1 µg de proteína, con cuantificación densitométrica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Métodos inmunológicos</w:t>
      </w:r>
      <w:r>
        <w:rPr>
          <w:rFonts w:ascii="Cambria" w:hAnsi="Cambria"/>
        </w:rPr>
        <w:t xml:space="preserve">: basados en complejos antígeno-anticuerpo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Procedimientos enzimáticos</w:t>
      </w:r>
      <w:r>
        <w:rPr>
          <w:rFonts w:ascii="Cambria" w:hAnsi="Cambria"/>
        </w:rPr>
        <w:t xml:space="preserve">: reactivos enzimáticos sobre geles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Métodos radiactivos</w:t>
      </w:r>
      <w:r>
        <w:rPr>
          <w:rFonts w:ascii="Cambria" w:hAnsi="Cambria"/>
        </w:rPr>
        <w:t xml:space="preserve">: marcaje previo con isótopo radiactivo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Aplicaciones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alimentación: análisis de proteínas y determinación de aminoácidos (prolina en miel, aminas biógenas en vinos)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Electroforesis en capa fina (aminoácidos y aminas en pescado, enzimas en judías verdes), en gel de poliacrilamida (proteínas de huevo, carne y vino) y en gel de almidón (proteínas del suero lácteo)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isoelectroenfoque se aplica en identificación de especies de pescado, tipo de leche en quesos, especie declarada en carnes y embutidos, variedades vegetales y, en taxonomía, identificación de especies de peces, determinación de paternidad y análisis de manufacturas CITES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EL CONVENIO CITES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CITES</w:t>
      </w:r>
      <w:r>
        <w:rPr>
          <w:rFonts w:ascii="Cambria" w:hAnsi="Cambria"/>
        </w:rPr>
        <w:t xml:space="preserve"> (Convención sobre el Comercio Internacional de Especies Amenazadas de Fauna y Flora Silvestres) se redactó en </w:t>
      </w:r>
      <w:r>
        <w:rPr>
          <w:rFonts w:ascii="Cambria" w:hAnsi="Cambria"/>
          <w:b/>
          <w:bCs/>
        </w:rPr>
        <w:t xml:space="preserve">1973</w:t>
      </w:r>
      <w:r>
        <w:rPr>
          <w:rFonts w:ascii="Cambria" w:hAnsi="Cambria"/>
        </w:rPr>
        <w:t xml:space="preserve"> en el seno de Naciones Unidas para proteger especies silvestres de una explotación no sostenible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Consta de </w:t>
      </w:r>
      <w:r>
        <w:rPr>
          <w:rFonts w:ascii="Cambria" w:hAnsi="Cambria"/>
          <w:b/>
          <w:bCs/>
        </w:rPr>
        <w:t xml:space="preserve">25 artículos</w:t>
      </w:r>
      <w:r>
        <w:rPr>
          <w:rFonts w:ascii="Cambria" w:hAnsi="Cambria"/>
        </w:rPr>
        <w:t xml:space="preserve">, se firmó en Washington el </w:t>
      </w:r>
      <w:r>
        <w:rPr>
          <w:rFonts w:ascii="Cambria" w:hAnsi="Cambria"/>
          <w:b/>
          <w:bCs/>
        </w:rPr>
        <w:t xml:space="preserve">3 de marzo de 1973</w:t>
      </w:r>
      <w:r>
        <w:rPr>
          <w:rFonts w:ascii="Cambria" w:hAnsi="Cambria"/>
        </w:rPr>
        <w:t xml:space="preserve"> por 21 países y entró en vigor el </w:t>
      </w:r>
      <w:r>
        <w:rPr>
          <w:rFonts w:ascii="Cambria" w:hAnsi="Cambria"/>
          <w:b/>
          <w:bCs/>
        </w:rPr>
        <w:t xml:space="preserve">1 de julio de 1975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Cuenta actualmente con </w:t>
      </w:r>
      <w:r>
        <w:rPr>
          <w:rFonts w:ascii="Cambria" w:hAnsi="Cambria"/>
          <w:b/>
          <w:bCs/>
        </w:rPr>
        <w:t xml:space="preserve">185 Partes</w:t>
      </w:r>
      <w:r>
        <w:rPr>
          <w:rFonts w:ascii="Cambria" w:hAnsi="Cambria"/>
        </w:rPr>
        <w:t xml:space="preserve"> (184 Estados más la Unión Europea, adherida en julio de 2015). España es Parte desde el </w:t>
      </w:r>
      <w:r>
        <w:rPr>
          <w:rFonts w:ascii="Cambria" w:hAnsi="Cambria"/>
          <w:b/>
          <w:bCs/>
        </w:rPr>
        <w:t xml:space="preserve">16 de mayo de 1986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 un instrumento de política comercial orientado a la conservación y el uso sostenible de las especies, equilibrando desarrollo y conservación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Autoridades competentes y papel actual del SOIVRE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aplicación en la UE se realiza mediante el </w:t>
      </w:r>
      <w:r>
        <w:rPr>
          <w:rFonts w:ascii="Cambria" w:hAnsi="Cambria"/>
          <w:b/>
          <w:bCs/>
        </w:rPr>
        <w:t xml:space="preserve">Reglamento (CE) 338/97</w:t>
      </w:r>
      <w:r>
        <w:rPr>
          <w:rFonts w:ascii="Cambria" w:hAnsi="Cambria"/>
        </w:rPr>
        <w:t xml:space="preserve">, que exige designar una Autoridad Administrativa y una Autoridad Científica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986/2021</w:t>
      </w:r>
      <w:r>
        <w:rPr>
          <w:rFonts w:ascii="Cambria" w:hAnsi="Cambria"/>
        </w:rPr>
        <w:t xml:space="preserve"> es la norma vigente sobre la Autoridad Administrativa principal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Autoridad Administrativa pasó a la Dirección General de Biodiversidad, Bosques y Desertificación (MITECO)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Autoridad Científica pasó a la Agencia Estatal Consejo Superior de Investigaciones Científicas (CSIC)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SOIVRE conserva un papel operativo mediante encomienda de gestión (</w:t>
      </w:r>
      <w:r>
        <w:rPr>
          <w:rFonts w:ascii="Cambria" w:hAnsi="Cambria"/>
          <w:b/>
          <w:bCs/>
        </w:rPr>
        <w:t xml:space="preserve">Resolución de 28 de enero de 2023</w:t>
      </w:r>
      <w:r>
        <w:rPr>
          <w:rFonts w:ascii="Cambria" w:hAnsi="Cambria"/>
        </w:rPr>
        <w:t xml:space="preserve">), ejecutando controles en frontera y expidiendo los </w:t>
      </w:r>
      <w:r>
        <w:rPr>
          <w:rFonts w:ascii="Cambria" w:hAnsi="Cambria"/>
          <w:b/>
          <w:bCs/>
        </w:rPr>
        <w:t xml:space="preserve">DIESAC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Periodo inicial de cuatro años, hasta el 28 de enero de 2027, prorrogable hasta un máximo de ocho, es decir, enero de 2031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controles se realizan en </w:t>
      </w:r>
      <w:r>
        <w:rPr>
          <w:rFonts w:ascii="Cambria" w:hAnsi="Cambria"/>
          <w:b/>
          <w:bCs/>
        </w:rPr>
        <w:t xml:space="preserve">Puestos de Control Fronterizo (PCF)</w:t>
      </w:r>
      <w:r>
        <w:rPr>
          <w:rFonts w:ascii="Cambria" w:hAnsi="Cambria"/>
        </w:rPr>
        <w:t xml:space="preserve">: Vigo, Barcelona, Bilbao, Alicante, Valencia, Sevilla, Málaga, Mallorca, Tenerife, Las Palmas, Algeciras y Madrid, con otras DT y DP colaboradoras como Badajoz, Almería, Gijón o Irún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PRUEBAS PARA LA IDENTIFICACIÓN DE ESPECIES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6.1. Técnicas de identificación genética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Técnicas citogenéticas</w:t>
      </w:r>
      <w:r>
        <w:rPr>
          <w:rFonts w:ascii="Cambria" w:hAnsi="Cambria"/>
        </w:rPr>
        <w:t xml:space="preserve">: obtienen el cariotipo de la muestra a partir de células cultivadas, permitiendo identificar la especie, el sexo en especies sin dimorfismo y diferenciar poblaciones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Limitaciones: especies distintas con igual cariotipo, individuos con más de uno, y no permiten pruebas de consanguinidad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Técnicas moleculares</w:t>
      </w:r>
      <w:r>
        <w:rPr>
          <w:rFonts w:ascii="Cambria" w:hAnsi="Cambria"/>
        </w:rPr>
        <w:t xml:space="preserve">: analizan directamente el ADN, aprovechando regiones no codificantes de longitud variable como marcadores genéticos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Huella genética o fingerprint</w:t>
      </w:r>
      <w:r>
        <w:rPr>
          <w:rFonts w:ascii="Cambria" w:hAnsi="Cambria"/>
        </w:rPr>
        <w:t xml:space="preserve">: basada en minisatélites (15-100 pares de bases, hasta 50 repeticiones). Extracción con Proteinasa K, digestión enzimática, electroforesis, hibridación con sondas y autorradiografía. Exige ADN abundante y de buena calidad, y comparar todas las muestras en el mismo gel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Detección de microsatélites</w:t>
      </w:r>
      <w:r>
        <w:rPr>
          <w:rFonts w:ascii="Cambria" w:hAnsi="Cambria"/>
        </w:rPr>
        <w:t xml:space="preserve">: basada en secuencias de 1-5 pares de bases. Usa PCR, por lo que admite muestras pequeñas o degradadas (pelo, saliva, huesos, plumas de hasta 100 años). Emplea de 8 a 12 sondas y es de lectura más sencilla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Control de paternidad</w:t>
      </w:r>
      <w:r>
        <w:rPr>
          <w:rFonts w:ascii="Cambria" w:hAnsi="Cambria"/>
        </w:rPr>
        <w:t xml:space="preserve">: relevante porque los especímenes nacidos en cautividad del Apéndice I reciben el trato del Apéndice II, más laxo, lo que propicia fraudes como el expolio de nidos de rapaces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6.2. Otras técnicas de identificación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Estudio del pelo</w:t>
      </w:r>
      <w:r>
        <w:rPr>
          <w:rFonts w:ascii="Cambria" w:hAnsi="Cambria"/>
        </w:rPr>
        <w:t xml:space="preserve">: análisis de pigmento, cutícula y médula al microscopio, comparando con muestras de referencia. Caso destacado: identificación de la lana shahtoosh del antílope tibetano (Pantholops hodgsonii) frente a pashmina o lana merina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Huevos de tortuga marina</w:t>
      </w:r>
      <w:r>
        <w:rPr>
          <w:rFonts w:ascii="Cambria" w:hAnsi="Cambria"/>
        </w:rPr>
        <w:t xml:space="preserve">: comparación de peso y diámetro con datos publicados de referencia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Marfil y sucedáneos</w:t>
      </w:r>
      <w:r>
        <w:rPr>
          <w:rFonts w:ascii="Cambria" w:hAnsi="Cambria"/>
        </w:rPr>
        <w:t xml:space="preserve">: estudio de las líneas de Schreger (ángulos agudos en marfil fósil, obtusos en marfil actual), observación bajo luz ultravioleta por la vivianita del marfil de mamut, y espectroscopia de infrarrojos por Transformada de Fourier para sucedáneos sintéticos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Caviar</w:t>
      </w:r>
      <w:r>
        <w:rPr>
          <w:rFonts w:ascii="Cambria" w:hAnsi="Cambria"/>
        </w:rPr>
        <w:t xml:space="preserve">: extracción de ADN mitocondrial del huevo de esturión y amplificación por PCR del gen del citocromo b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Test inmunológicos</w:t>
      </w:r>
      <w:r>
        <w:rPr>
          <w:rFonts w:ascii="Cambria" w:hAnsi="Cambria"/>
        </w:rPr>
        <w:t xml:space="preserve">: difusión en gel de agarosa o inmunoelectroforesis con antisueros específicos, útiles para identificar familia o género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Inmunoblot</w:t>
      </w:r>
      <w:r>
        <w:rPr>
          <w:rFonts w:ascii="Cambria" w:hAnsi="Cambria"/>
        </w:rPr>
        <w:t xml:space="preserve">: emplea la albúmina como marcador monoespecífico, combinando isoelectroenfoque en rangos estrechos de pH con revelado mediante anticuerpos específicos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ADN de plantas</w:t>
      </w:r>
      <w:r>
        <w:rPr>
          <w:rFonts w:ascii="Cambria" w:hAnsi="Cambria"/>
        </w:rPr>
        <w:t xml:space="preserve">: amplificación por PCR con primers específicos, empleada en el comercio ilegal de palo verde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Identificación de maderas</w:t>
      </w:r>
      <w:r>
        <w:rPr>
          <w:rFonts w:ascii="Cambria" w:hAnsi="Cambria"/>
        </w:rPr>
        <w:t xml:space="preserve">: características macroscópicas y determinación del peso específico (anhidro P0 y normal P12), mediante método estereométrico o de desplazamiento de líquido (mercurio) o gas (helio), completada con observación microscópica de cortes finos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Muchas partidas se tramitan por el Circuito Verde, sin controles físicos sistemáticos, lo que supone un riesgo de fraude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6.3. Otras identificaciones específicas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Bilis de Ursidae</w:t>
      </w:r>
      <w:r>
        <w:rPr>
          <w:rFonts w:ascii="Cambria" w:hAnsi="Cambria"/>
        </w:rPr>
        <w:t xml:space="preserve">: identificación de sales biliares mediante cromatografía en capa fina o extracción en columna con HPLC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Huesos de Panthera tigris</w:t>
      </w:r>
      <w:r>
        <w:rPr>
          <w:rFonts w:ascii="Cambria" w:hAnsi="Cambria"/>
        </w:rPr>
        <w:t xml:space="preserve">: detección de hidroxiapatita mediante espectroscopia de infrarrojos por Transformada de Fourier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Almizcle</w:t>
      </w:r>
      <w:r>
        <w:rPr>
          <w:rFonts w:ascii="Cambria" w:hAnsi="Cambria"/>
        </w:rPr>
        <w:t xml:space="preserve">: cromatografía de gases y espectrometría de masas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Pieles y manufacturas de reptiles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Orden Serpentes: número de escamas dorsales y ventrales, forma y disposición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Orden Crocodylia: escudos ventrales por fila y filas entre collar y cloaca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Orden Sauria: uniones entre escamas ventrales y laterales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técnicas descritas, desde la electroforesis y el isoelectroenfoque hasta la identificación genética molecular, constituyen el soporte científico del control del comercio de especies amenazadas, ya que la observación visual resulta insuficiente ante manufacturas o porciones pequeñas de material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Aunque la Autoridad Administrativa y la Autoridad Científica CITES residen hoy en el MITECO y el CSIC, el SOIVRE conserva un papel operativo esencial mediante la encomienda de gestión vigente, ejecutando los controles fronterizos y expidiendo los DIESAC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40 – Técnicas de identificación de especies. Técnicas moleculares, electroforesis y enfoque isoeléctrico. Fundamento y aplicaciones. Especial referencia al control de especímenes sujetos al Convenio CITES y fraude comercial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