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1"/>
        <w:jc w:val="both"/>
        <w:rPr>
          <w:rFonts w:ascii="Cambria" w:hAnsi="Cambria"/>
          <w:b/>
          <w:bCs/>
          <w:color w:val="auto"/>
          <w:sz w:val="28"/>
          <w:szCs w:val="28"/>
        </w:rPr>
      </w:pPr>
      <w:r>
        <w:rPr>
          <w:rFonts w:ascii="Cambria" w:hAnsi="Cambria"/>
          <w:b/>
          <w:bCs/>
          <w:color w:val="auto"/>
          <w:sz w:val="28"/>
          <w:szCs w:val="28"/>
        </w:rPr>
        <w:t xml:space="preserve">1. INTRODUCCIÓN</w:t>
      </w:r>
    </w:p>
    <w:p>
      <w:pPr>
        <w:numPr>
          <w:ilvl w:val="0"/>
          <w:numId w:val="1"/>
        </w:numPr>
        <w:jc w:val="both"/>
        <w:rPr>
          <w:rFonts w:ascii="Cambria" w:hAnsi="Cambria"/>
        </w:rPr>
      </w:pPr>
      <w:r>
        <w:rPr>
          <w:rFonts w:ascii="Cambria" w:hAnsi="Cambria"/>
          <w:b/>
          <w:bCs/>
        </w:rPr>
        <w:t xml:space="preserve">Normalización</w:t>
      </w:r>
      <w:r>
        <w:rPr>
          <w:rFonts w:ascii="Cambria" w:hAnsi="Cambria"/>
        </w:rPr>
        <w:t xml:space="preserve">: actividad voluntaria y basada en consenso, para adoptar normas de cumplimiento no obligatorio.</w:t>
      </w:r>
    </w:p>
    <w:p>
      <w:pPr>
        <w:numPr>
          <w:ilvl w:val="0"/>
          <w:numId w:val="1"/>
        </w:numPr>
        <w:jc w:val="both"/>
        <w:rPr>
          <w:rFonts w:ascii="Cambria" w:hAnsi="Cambria"/>
        </w:rPr>
      </w:pPr>
      <w:r>
        <w:rPr>
          <w:rFonts w:ascii="Cambria" w:hAnsi="Cambria"/>
          <w:b/>
          <w:bCs/>
        </w:rPr>
        <w:t xml:space="preserve">Norma</w:t>
      </w:r>
      <w:r>
        <w:rPr>
          <w:rFonts w:ascii="Cambria" w:hAnsi="Cambria"/>
        </w:rPr>
        <w:t xml:space="preserve"> (Acuerdo TBT de la OMC): documento aprobado por institución reconocida que fija reglas, directrices o características de productos o procesos, de observancia no obligatoria.</w:t>
      </w:r>
    </w:p>
    <w:p>
      <w:pPr>
        <w:numPr>
          <w:ilvl w:val="0"/>
          <w:numId w:val="1"/>
        </w:numPr>
        <w:jc w:val="both"/>
        <w:rPr>
          <w:rFonts w:ascii="Cambria" w:hAnsi="Cambria"/>
        </w:rPr>
      </w:pPr>
      <w:r>
        <w:rPr>
          <w:rFonts w:ascii="Cambria" w:hAnsi="Cambria"/>
        </w:rPr>
        <w:t xml:space="preserve">La normalización internacional facilita el comercio al crear un lenguaje común entre fabricantes, administraciones y consumidores.</w:t>
      </w:r>
    </w:p>
    <w:p>
      <w:pPr>
        <w:numPr>
          <w:ilvl w:val="0"/>
          <w:numId w:val="1"/>
        </w:numPr>
        <w:jc w:val="both"/>
        <w:rPr>
          <w:rFonts w:ascii="Cambria" w:hAnsi="Cambria"/>
        </w:rPr>
      </w:pPr>
      <w:r>
        <w:rPr>
          <w:rFonts w:ascii="Cambria" w:hAnsi="Cambria"/>
        </w:rPr>
        <w:t xml:space="preserve">Jerarquía de organismos según su carácter internacional</w:t>
      </w:r>
    </w:p>
    <w:p>
      <w:pPr>
        <w:numPr>
          <w:ilvl w:val="1"/>
          <w:numId w:val="1"/>
        </w:numPr>
        <w:jc w:val="both"/>
        <w:rPr>
          <w:rFonts w:ascii="Cambria" w:hAnsi="Cambria"/>
        </w:rPr>
      </w:pPr>
      <w:r>
        <w:rPr>
          <w:rFonts w:ascii="Cambria" w:hAnsi="Cambria"/>
          <w:b/>
          <w:bCs/>
        </w:rPr>
        <w:t xml:space="preserve">Las Tres Hermanas</w:t>
      </w:r>
      <w:r>
        <w:rPr>
          <w:rFonts w:ascii="Cambria" w:hAnsi="Cambria"/>
        </w:rPr>
        <w:t xml:space="preserve">: CODEX Alimentarius, </w:t>
      </w:r>
      <w:r>
        <w:rPr>
          <w:rFonts w:ascii="Cambria" w:hAnsi="Cambria"/>
          <w:b/>
          <w:bCs/>
        </w:rPr>
        <w:t xml:space="preserve">OMSA</w:t>
      </w:r>
      <w:r>
        <w:rPr>
          <w:rFonts w:ascii="Cambria" w:hAnsi="Cambria"/>
        </w:rPr>
        <w:t xml:space="preserve"> (antigua OIE) y </w:t>
      </w:r>
      <w:r>
        <w:rPr>
          <w:rFonts w:ascii="Cambria" w:hAnsi="Cambria"/>
          <w:b/>
          <w:bCs/>
        </w:rPr>
        <w:t xml:space="preserve">CIPF</w:t>
      </w:r>
      <w:r>
        <w:rPr>
          <w:rFonts w:ascii="Cambria" w:hAnsi="Cambria"/>
        </w:rPr>
        <w:t xml:space="preserve"> de la FAO, reconocidas explícitamente por el </w:t>
      </w:r>
      <w:r>
        <w:rPr>
          <w:rFonts w:ascii="Cambria" w:hAnsi="Cambria"/>
          <w:b/>
          <w:bCs/>
        </w:rPr>
        <w:t xml:space="preserve">Acuerdo SPS</w:t>
      </w:r>
      <w:r>
        <w:rPr>
          <w:rFonts w:ascii="Cambria" w:hAnsi="Cambria"/>
        </w:rPr>
        <w:t xml:space="preserve"> de la OMC.</w:t>
      </w:r>
    </w:p>
    <w:p>
      <w:pPr>
        <w:numPr>
          <w:ilvl w:val="1"/>
          <w:numId w:val="1"/>
        </w:numPr>
        <w:jc w:val="both"/>
        <w:rPr>
          <w:rFonts w:ascii="Cambria" w:hAnsi="Cambria"/>
        </w:rPr>
      </w:pPr>
      <w:r>
        <w:rPr>
          <w:rFonts w:ascii="Cambria" w:hAnsi="Cambria"/>
          <w:b/>
          <w:bCs/>
        </w:rPr>
        <w:t xml:space="preserve">ISO</w:t>
      </w:r>
      <w:r>
        <w:rPr>
          <w:rFonts w:ascii="Cambria" w:hAnsi="Cambria"/>
        </w:rPr>
        <w:t xml:space="preserve">, organismo de referencia del Acuerdo TBT.</w:t>
      </w:r>
    </w:p>
    <w:p>
      <w:pPr>
        <w:numPr>
          <w:ilvl w:val="1"/>
          <w:numId w:val="1"/>
        </w:numPr>
        <w:jc w:val="both"/>
        <w:rPr>
          <w:rFonts w:ascii="Cambria" w:hAnsi="Cambria"/>
        </w:rPr>
      </w:pPr>
      <w:r>
        <w:rPr>
          <w:rFonts w:ascii="Cambria" w:hAnsi="Cambria"/>
        </w:rPr>
        <w:t xml:space="preserve">Organismos regionales como </w:t>
      </w:r>
      <w:r>
        <w:rPr>
          <w:rFonts w:ascii="Cambria" w:hAnsi="Cambria"/>
          <w:b/>
          <w:bCs/>
        </w:rPr>
        <w:t xml:space="preserve">CEPE/NU</w:t>
      </w:r>
      <w:r>
        <w:rPr>
          <w:rFonts w:ascii="Cambria" w:hAnsi="Cambria"/>
        </w:rPr>
        <w:t xml:space="preserve">, la OCDE o la UE.</w:t>
      </w:r>
    </w:p>
    <w:p>
      <w:pPr>
        <w:numPr>
          <w:ilvl w:val="1"/>
          <w:numId w:val="1"/>
        </w:numPr>
        <w:jc w:val="both"/>
        <w:rPr>
          <w:rFonts w:ascii="Cambria" w:hAnsi="Cambria"/>
        </w:rPr>
      </w:pPr>
      <w:r>
        <w:rPr>
          <w:rFonts w:ascii="Cambria" w:hAnsi="Cambria"/>
        </w:rPr>
        <w:t xml:space="preserve">Organismos de ámbito regional más restringido: COPANT, ARSO, ACCSQ, CEN, CENELEC, ETSI y AENOR en España.</w:t>
      </w:r>
    </w:p>
    <w:p>
      <w:pPr>
        <w:numPr>
          <w:ilvl w:val="0"/>
          <w:numId w:val="1"/>
        </w:numPr>
        <w:jc w:val="both"/>
        <w:rPr>
          <w:rFonts w:ascii="Cambria" w:hAnsi="Cambria"/>
        </w:rPr>
      </w:pPr>
      <w:r>
        <w:rPr>
          <w:rFonts w:ascii="Cambria" w:hAnsi="Cambria"/>
        </w:rPr>
        <w:t xml:space="preserve">El Acuerdo TBT insta a los Miembros de la OMC a utilizar normas internacionales cuando existan.</w:t>
      </w:r>
    </w:p>
    <w:p>
      <w:pPr>
        <w:pStyle w:val="Ttulo1"/>
        <w:jc w:val="both"/>
        <w:rPr>
          <w:rFonts w:ascii="Cambria" w:hAnsi="Cambria"/>
          <w:b/>
          <w:bCs/>
          <w:color w:val="auto"/>
          <w:sz w:val="28"/>
          <w:szCs w:val="28"/>
        </w:rPr>
      </w:pPr>
      <w:r>
        <w:rPr>
          <w:rFonts w:ascii="Cambria" w:hAnsi="Cambria"/>
          <w:b/>
          <w:bCs/>
          <w:color w:val="auto"/>
          <w:sz w:val="28"/>
          <w:szCs w:val="28"/>
        </w:rPr>
        <w:t xml:space="preserve">2. CODEX ALIMENTARIUS</w:t>
      </w:r>
    </w:p>
    <w:p>
      <w:pPr>
        <w:numPr>
          <w:ilvl w:val="0"/>
          <w:numId w:val="1"/>
        </w:numPr>
        <w:jc w:val="both"/>
        <w:rPr>
          <w:rFonts w:ascii="Cambria" w:hAnsi="Cambria"/>
        </w:rPr>
      </w:pPr>
      <w:r>
        <w:rPr>
          <w:rFonts w:ascii="Cambria" w:hAnsi="Cambria"/>
        </w:rPr>
        <w:t xml:space="preserve">Antecedentes: tras la creación de la </w:t>
      </w:r>
      <w:r>
        <w:rPr>
          <w:rFonts w:ascii="Cambria" w:hAnsi="Cambria"/>
          <w:b/>
          <w:bCs/>
        </w:rPr>
        <w:t xml:space="preserve">FAO</w:t>
      </w:r>
      <w:r>
        <w:rPr>
          <w:rFonts w:ascii="Cambria" w:hAnsi="Cambria"/>
        </w:rPr>
        <w:t xml:space="preserve"> (1945) y la </w:t>
      </w:r>
      <w:r>
        <w:rPr>
          <w:rFonts w:ascii="Cambria" w:hAnsi="Cambria"/>
          <w:b/>
          <w:bCs/>
        </w:rPr>
        <w:t xml:space="preserve">OMS</w:t>
      </w:r>
      <w:r>
        <w:rPr>
          <w:rFonts w:ascii="Cambria" w:hAnsi="Cambria"/>
        </w:rPr>
        <w:t xml:space="preserve"> (1948), se detectó la falta de armonización en reglamentación alimentaria.</w:t>
      </w:r>
    </w:p>
    <w:p>
      <w:pPr>
        <w:numPr>
          <w:ilvl w:val="0"/>
          <w:numId w:val="1"/>
        </w:numPr>
        <w:jc w:val="both"/>
        <w:rPr>
          <w:rFonts w:ascii="Cambria" w:hAnsi="Cambria"/>
        </w:rPr>
      </w:pPr>
      <w:r>
        <w:rPr>
          <w:rFonts w:ascii="Cambria" w:hAnsi="Cambria"/>
        </w:rPr>
        <w:t xml:space="preserve">La </w:t>
      </w:r>
      <w:r>
        <w:rPr>
          <w:rFonts w:ascii="Cambria" w:hAnsi="Cambria"/>
          <w:b/>
          <w:bCs/>
        </w:rPr>
        <w:t xml:space="preserve">11ª Conferencia de la FAO</w:t>
      </w:r>
      <w:r>
        <w:rPr>
          <w:rFonts w:ascii="Cambria" w:hAnsi="Cambria"/>
        </w:rPr>
        <w:t xml:space="preserve"> (1961), con apoyo de la OMS, la CEPE/UN y la OCDE, recomendó crear la </w:t>
      </w:r>
      <w:r>
        <w:rPr>
          <w:rFonts w:ascii="Cambria" w:hAnsi="Cambria"/>
          <w:b/>
          <w:bCs/>
        </w:rPr>
        <w:t xml:space="preserve">Comisión del CODEX Alimentarius</w:t>
      </w:r>
      <w:r>
        <w:rPr>
          <w:rFonts w:ascii="Cambria" w:hAnsi="Cambria"/>
        </w:rPr>
        <w:t xml:space="preserve">.</w:t>
      </w:r>
    </w:p>
    <w:p>
      <w:pPr>
        <w:numPr>
          <w:ilvl w:val="0"/>
          <w:numId w:val="1"/>
        </w:numPr>
        <w:jc w:val="both"/>
        <w:rPr>
          <w:rFonts w:ascii="Cambria" w:hAnsi="Cambria"/>
        </w:rPr>
      </w:pPr>
      <w:r>
        <w:rPr>
          <w:rFonts w:ascii="Cambria" w:hAnsi="Cambria"/>
        </w:rPr>
        <w:t xml:space="preserve">La Comisión quedó establecida en </w:t>
      </w:r>
      <w:r>
        <w:rPr>
          <w:rFonts w:ascii="Cambria" w:hAnsi="Cambria"/>
          <w:b/>
          <w:bCs/>
        </w:rPr>
        <w:t xml:space="preserve">1963</w:t>
      </w:r>
      <w:r>
        <w:rPr>
          <w:rFonts w:ascii="Cambria" w:hAnsi="Cambria"/>
        </w:rPr>
        <w:t xml:space="preserve">, celebrando su primera sesión en Roma.</w:t>
      </w:r>
    </w:p>
    <w:p>
      <w:pPr>
        <w:numPr>
          <w:ilvl w:val="0"/>
          <w:numId w:val="1"/>
        </w:numPr>
        <w:jc w:val="both"/>
        <w:rPr>
          <w:rFonts w:ascii="Cambria" w:hAnsi="Cambria"/>
        </w:rPr>
      </w:pPr>
      <w:r>
        <w:rPr>
          <w:rFonts w:ascii="Cambria" w:hAnsi="Cambria"/>
        </w:rPr>
        <w:t xml:space="preserve">El CODEX Alimentarius es el principal logro del programa conjunto FAO/OMS y punto de referencia mundial para consumidores, productores y comercio de alimentos.</w:t>
      </w:r>
    </w:p>
    <w:p>
      <w:pPr>
        <w:numPr>
          <w:ilvl w:val="0"/>
          <w:numId w:val="1"/>
        </w:numPr>
        <w:jc w:val="both"/>
        <w:rPr>
          <w:rFonts w:ascii="Cambria" w:hAnsi="Cambria"/>
        </w:rPr>
      </w:pPr>
      <w:r>
        <w:rPr>
          <w:rFonts w:ascii="Cambria" w:hAnsi="Cambria"/>
        </w:rPr>
        <w:t xml:space="preserve">El </w:t>
      </w:r>
      <w:r>
        <w:rPr>
          <w:rFonts w:ascii="Cambria" w:hAnsi="Cambria"/>
          <w:b/>
          <w:bCs/>
        </w:rPr>
        <w:t xml:space="preserve">Acuerdo SPS</w:t>
      </w:r>
      <w:r>
        <w:rPr>
          <w:rFonts w:ascii="Cambria" w:hAnsi="Cambria"/>
        </w:rPr>
        <w:t xml:space="preserve"> de la OMC elige las normas, directrices y recomendaciones del CODEX como medida preferente para facilitar el comercio de alimentos.</w:t>
      </w:r>
    </w:p>
    <w:p>
      <w:pPr>
        <w:pStyle w:val="Ttulo2"/>
        <w:jc w:val="both"/>
        <w:rPr>
          <w:rFonts w:ascii="Cambria" w:hAnsi="Cambria"/>
          <w:b/>
          <w:bCs/>
          <w:color w:val="auto"/>
          <w:sz w:val="24"/>
          <w:szCs w:val="24"/>
        </w:rPr>
      </w:pPr>
      <w:r>
        <w:rPr>
          <w:rFonts w:ascii="Cambria" w:hAnsi="Cambria"/>
          <w:b/>
          <w:bCs/>
          <w:color w:val="auto"/>
          <w:sz w:val="24"/>
          <w:szCs w:val="24"/>
        </w:rPr>
        <w:t xml:space="preserve">2.1. Objetivos del CODEX</w:t>
      </w:r>
    </w:p>
    <w:p>
      <w:pPr>
        <w:numPr>
          <w:ilvl w:val="0"/>
          <w:numId w:val="1"/>
        </w:numPr>
        <w:jc w:val="both"/>
        <w:rPr>
          <w:rFonts w:ascii="Cambria" w:hAnsi="Cambria"/>
        </w:rPr>
      </w:pPr>
      <w:r>
        <w:rPr>
          <w:rFonts w:ascii="Cambria" w:hAnsi="Cambria"/>
          <w:b/>
          <w:bCs/>
        </w:rPr>
        <w:t xml:space="preserve">Protección de la salud de los consumidores</w:t>
      </w:r>
      <w:r>
        <w:rPr>
          <w:rFonts w:ascii="Cambria" w:hAnsi="Cambria"/>
        </w:rPr>
        <w:t xml:space="preserve">, reforzando los organismos nacionales de control de alimentos.</w:t>
      </w:r>
    </w:p>
    <w:p>
      <w:pPr>
        <w:numPr>
          <w:ilvl w:val="0"/>
          <w:numId w:val="1"/>
        </w:numPr>
        <w:jc w:val="both"/>
        <w:rPr>
          <w:rFonts w:ascii="Cambria" w:hAnsi="Cambria"/>
        </w:rPr>
      </w:pPr>
      <w:r>
        <w:rPr>
          <w:rFonts w:ascii="Cambria" w:hAnsi="Cambria"/>
          <w:b/>
          <w:bCs/>
        </w:rPr>
        <w:t xml:space="preserve">Asegurar prácticas equitativas y justas</w:t>
      </w:r>
      <w:r>
        <w:rPr>
          <w:rFonts w:ascii="Cambria" w:hAnsi="Cambria"/>
        </w:rPr>
        <w:t xml:space="preserve"> en el comercio internacional, evitando que las normas se conviertan en obstáculos.</w:t>
      </w:r>
    </w:p>
    <w:p>
      <w:pPr>
        <w:numPr>
          <w:ilvl w:val="0"/>
          <w:numId w:val="1"/>
        </w:numPr>
        <w:jc w:val="both"/>
        <w:rPr>
          <w:rFonts w:ascii="Cambria" w:hAnsi="Cambria"/>
        </w:rPr>
      </w:pPr>
      <w:r>
        <w:rPr>
          <w:rFonts w:ascii="Cambria" w:hAnsi="Cambria"/>
          <w:b/>
          <w:bCs/>
        </w:rPr>
        <w:t xml:space="preserve">Promover la coordinación</w:t>
      </w:r>
      <w:r>
        <w:rPr>
          <w:rFonts w:ascii="Cambria" w:hAnsi="Cambria"/>
        </w:rPr>
        <w:t xml:space="preserve"> de los trabajos sobre normas de alimentos entre instituciones gubernamentales y no gubernamentales.</w:t>
      </w:r>
    </w:p>
    <w:p>
      <w:pPr>
        <w:numPr>
          <w:ilvl w:val="0"/>
          <w:numId w:val="1"/>
        </w:numPr>
        <w:jc w:val="both"/>
        <w:rPr>
          <w:rFonts w:ascii="Cambria" w:hAnsi="Cambria"/>
        </w:rPr>
      </w:pPr>
      <w:r>
        <w:rPr>
          <w:rFonts w:ascii="Cambria" w:hAnsi="Cambria"/>
          <w:b/>
          <w:bCs/>
        </w:rPr>
        <w:t xml:space="preserve">Preparar proyectos de normas</w:t>
      </w:r>
      <w:r>
        <w:rPr>
          <w:rFonts w:ascii="Cambria" w:hAnsi="Cambria"/>
        </w:rPr>
        <w:t xml:space="preserve"> a través de las organizaciones adecuadas para su publicación como norma regional o mundial.</w:t>
      </w:r>
    </w:p>
    <w:p>
      <w:pPr>
        <w:numPr>
          <w:ilvl w:val="0"/>
          <w:numId w:val="1"/>
        </w:numPr>
        <w:jc w:val="both"/>
        <w:rPr>
          <w:rFonts w:ascii="Cambria" w:hAnsi="Cambria"/>
        </w:rPr>
      </w:pPr>
      <w:r>
        <w:rPr>
          <w:rFonts w:ascii="Cambria" w:hAnsi="Cambria"/>
          <w:b/>
          <w:bCs/>
        </w:rPr>
        <w:t xml:space="preserve">Plan Estratégico del CODEX 2026-2031</w:t>
      </w:r>
      <w:r>
        <w:rPr>
          <w:rFonts w:ascii="Cambria" w:hAnsi="Cambria"/>
        </w:rPr>
        <w:t xml:space="preserve">, adoptado en la 47ª reunión de la Comisión, en vigor desde el 1 de enero de 2026, que sustituye al Plan 2020-2025, con especial atención al enfoque </w:t>
      </w:r>
      <w:r>
        <w:rPr>
          <w:rFonts w:ascii="Cambria" w:hAnsi="Cambria"/>
          <w:b/>
          <w:bCs/>
        </w:rPr>
        <w:t xml:space="preserve">One Health</w:t>
      </w:r>
      <w:r>
        <w:rPr>
          <w:rFonts w:ascii="Cambria" w:hAnsi="Cambria"/>
        </w:rPr>
        <w:t xml:space="preserve"> y a la modernización digital.</w:t>
      </w:r>
    </w:p>
    <w:p>
      <w:pPr>
        <w:pStyle w:val="Ttulo1"/>
        <w:jc w:val="both"/>
        <w:rPr>
          <w:rFonts w:ascii="Cambria" w:hAnsi="Cambria"/>
          <w:b/>
          <w:bCs/>
          <w:color w:val="auto"/>
          <w:sz w:val="28"/>
          <w:szCs w:val="28"/>
        </w:rPr>
      </w:pPr>
      <w:r>
        <w:rPr>
          <w:rFonts w:ascii="Cambria" w:hAnsi="Cambria"/>
          <w:b/>
          <w:bCs/>
          <w:color w:val="auto"/>
          <w:sz w:val="28"/>
          <w:szCs w:val="28"/>
        </w:rPr>
        <w:t xml:space="preserve">3. ESTRUCTURA Y FUNCIONAMIENTO</w:t>
      </w:r>
    </w:p>
    <w:p>
      <w:pPr>
        <w:pStyle w:val="Ttulo2"/>
        <w:jc w:val="both"/>
        <w:rPr>
          <w:rFonts w:ascii="Cambria" w:hAnsi="Cambria"/>
          <w:b/>
          <w:bCs/>
          <w:color w:val="auto"/>
          <w:sz w:val="24"/>
          <w:szCs w:val="24"/>
        </w:rPr>
      </w:pPr>
      <w:r>
        <w:rPr>
          <w:rFonts w:ascii="Cambria" w:hAnsi="Cambria"/>
          <w:b/>
          <w:bCs/>
          <w:color w:val="auto"/>
          <w:sz w:val="24"/>
          <w:szCs w:val="24"/>
        </w:rPr>
        <w:t xml:space="preserve">3.1. Estructura</w:t>
      </w:r>
    </w:p>
    <w:p>
      <w:pPr>
        <w:numPr>
          <w:ilvl w:val="0"/>
          <w:numId w:val="1"/>
        </w:numPr>
        <w:jc w:val="both"/>
        <w:rPr>
          <w:rFonts w:ascii="Cambria" w:hAnsi="Cambria"/>
        </w:rPr>
      </w:pPr>
      <w:r>
        <w:rPr>
          <w:rFonts w:ascii="Cambria" w:hAnsi="Cambria"/>
        </w:rPr>
        <w:t xml:space="preserve">Los </w:t>
      </w:r>
      <w:r>
        <w:rPr>
          <w:rFonts w:ascii="Cambria" w:hAnsi="Cambria"/>
          <w:b/>
          <w:bCs/>
        </w:rPr>
        <w:t xml:space="preserve">Estatutos y el Reglamento</w:t>
      </w:r>
      <w:r>
        <w:rPr>
          <w:rFonts w:ascii="Cambria" w:hAnsi="Cambria"/>
        </w:rPr>
        <w:t xml:space="preserve"> de la Comisión, adoptados por FAO y OMS, describen su estructura y funcionamiento.</w:t>
      </w:r>
    </w:p>
    <w:p>
      <w:pPr>
        <w:numPr>
          <w:ilvl w:val="0"/>
          <w:numId w:val="1"/>
        </w:numPr>
        <w:jc w:val="both"/>
        <w:rPr>
          <w:rFonts w:ascii="Cambria" w:hAnsi="Cambria"/>
        </w:rPr>
      </w:pPr>
      <w:r>
        <w:rPr>
          <w:rFonts w:ascii="Cambria" w:hAnsi="Cambria"/>
          <w:b/>
          <w:bCs/>
        </w:rPr>
        <w:t xml:space="preserve">Comité Ejecutivo</w:t>
      </w:r>
      <w:r>
        <w:rPr>
          <w:rFonts w:ascii="Cambria" w:hAnsi="Cambria"/>
        </w:rPr>
        <w:t xml:space="preserve">: Presidente, 3 Vicepresidentes y 7 Miembros elegidos por región (África, Asia, Europa, América Latina y el Caribe, América del Norte, Oriente Próximo y Pacífico Sudoccidental), más 6 Coordinadores Regionales.</w:t>
      </w:r>
    </w:p>
    <w:p>
      <w:pPr>
        <w:numPr>
          <w:ilvl w:val="0"/>
          <w:numId w:val="1"/>
        </w:numPr>
        <w:jc w:val="both"/>
        <w:rPr>
          <w:rFonts w:ascii="Cambria" w:hAnsi="Cambria"/>
        </w:rPr>
      </w:pPr>
      <w:r>
        <w:rPr>
          <w:rFonts w:ascii="Cambria" w:hAnsi="Cambria"/>
        </w:rPr>
        <w:t xml:space="preserve">El Comité Ejecutivo propone orientaciones sobre el programa de trabajo, sesiones, votaciones y presupuesto.</w:t>
      </w:r>
    </w:p>
    <w:p>
      <w:pPr>
        <w:numPr>
          <w:ilvl w:val="0"/>
          <w:numId w:val="1"/>
        </w:numPr>
        <w:jc w:val="both"/>
        <w:rPr>
          <w:rFonts w:ascii="Cambria" w:hAnsi="Cambria"/>
        </w:rPr>
      </w:pPr>
      <w:r>
        <w:rPr>
          <w:rFonts w:ascii="Cambria" w:hAnsi="Cambria"/>
        </w:rPr>
        <w:t xml:space="preserve">La Comisión se reúne teóricamente cada dos años, en la práctica con carácter anual, alternando sede entre Roma (FAO) y Ginebra (OMS).</w:t>
      </w:r>
    </w:p>
    <w:p>
      <w:pPr>
        <w:numPr>
          <w:ilvl w:val="0"/>
          <w:numId w:val="1"/>
        </w:numPr>
        <w:jc w:val="both"/>
        <w:rPr>
          <w:rFonts w:ascii="Cambria" w:hAnsi="Cambria"/>
        </w:rPr>
      </w:pPr>
      <w:r>
        <w:rPr>
          <w:rFonts w:ascii="Cambria" w:hAnsi="Cambria"/>
        </w:rPr>
        <w:t xml:space="preserve">Integrada por </w:t>
      </w:r>
      <w:r>
        <w:rPr>
          <w:rFonts w:ascii="Cambria" w:hAnsi="Cambria"/>
          <w:b/>
          <w:bCs/>
        </w:rPr>
        <w:t xml:space="preserve">189 Miembros</w:t>
      </w:r>
      <w:r>
        <w:rPr>
          <w:rFonts w:ascii="Cambria" w:hAnsi="Cambria"/>
        </w:rPr>
        <w:t xml:space="preserve"> (188 Estados y la Unión Europea), tras la incorporación de Timor Leste en 2018, y más de 240 observadores.</w:t>
      </w:r>
    </w:p>
    <w:p>
      <w:pPr>
        <w:numPr>
          <w:ilvl w:val="0"/>
          <w:numId w:val="1"/>
        </w:numPr>
        <w:jc w:val="both"/>
        <w:rPr>
          <w:rFonts w:ascii="Cambria" w:hAnsi="Cambria"/>
        </w:rPr>
      </w:pPr>
      <w:r>
        <w:rPr>
          <w:rFonts w:ascii="Cambria" w:hAnsi="Cambria"/>
          <w:b/>
          <w:bCs/>
        </w:rPr>
        <w:t xml:space="preserve">Puntos de Contacto del CODEX</w:t>
      </w:r>
      <w:r>
        <w:rPr>
          <w:rFonts w:ascii="Cambria" w:hAnsi="Cambria"/>
        </w:rPr>
        <w:t xml:space="preserve">: en España, la </w:t>
      </w:r>
      <w:r>
        <w:rPr>
          <w:rFonts w:ascii="Cambria" w:hAnsi="Cambria"/>
          <w:b/>
          <w:bCs/>
        </w:rPr>
        <w:t xml:space="preserve">AESAN</w:t>
      </w:r>
      <w:r>
        <w:rPr>
          <w:rFonts w:ascii="Cambria" w:hAnsi="Cambria"/>
        </w:rPr>
        <w:t xml:space="preserve">, adscrita al Ministerio de Derechos Sociales, Consumo y Agenda 2030, con colaboración del MECE y el MAPA según competencias.</w:t>
      </w:r>
    </w:p>
    <w:p>
      <w:pPr>
        <w:numPr>
          <w:ilvl w:val="0"/>
          <w:numId w:val="1"/>
        </w:numPr>
        <w:jc w:val="both"/>
        <w:rPr>
          <w:rFonts w:ascii="Cambria" w:hAnsi="Cambria"/>
        </w:rPr>
      </w:pPr>
      <w:r>
        <w:rPr>
          <w:rFonts w:ascii="Cambria" w:hAnsi="Cambria"/>
        </w:rPr>
        <w:t xml:space="preserve">Las decisiones se adoptan por mayoría, un voto por Miembro, y las normas se aprueban preferentemente por </w:t>
      </w:r>
      <w:r>
        <w:rPr>
          <w:rFonts w:ascii="Cambria" w:hAnsi="Cambria"/>
          <w:b/>
          <w:bCs/>
        </w:rPr>
        <w:t xml:space="preserve">consenso</w:t>
      </w:r>
      <w:r>
        <w:rPr>
          <w:rFonts w:ascii="Cambria" w:hAnsi="Cambria"/>
        </w:rPr>
        <w:t xml:space="preserve">.</w:t>
      </w:r>
    </w:p>
    <w:p>
      <w:pPr>
        <w:numPr>
          <w:ilvl w:val="0"/>
          <w:numId w:val="1"/>
        </w:numPr>
        <w:jc w:val="both"/>
        <w:rPr>
          <w:rFonts w:ascii="Cambria" w:hAnsi="Cambria"/>
        </w:rPr>
      </w:pPr>
      <w:r>
        <w:rPr>
          <w:rFonts w:ascii="Cambria" w:hAnsi="Cambria"/>
        </w:rPr>
        <w:t xml:space="preserve">La Comisión puede establecer dos tipos de órganos auxiliares</w:t>
      </w:r>
    </w:p>
    <w:p>
      <w:pPr>
        <w:numPr>
          <w:ilvl w:val="1"/>
          <w:numId w:val="1"/>
        </w:numPr>
        <w:jc w:val="both"/>
        <w:rPr>
          <w:rFonts w:ascii="Cambria" w:hAnsi="Cambria"/>
        </w:rPr>
      </w:pPr>
      <w:r>
        <w:rPr>
          <w:rFonts w:ascii="Cambria" w:hAnsi="Cambria"/>
          <w:b/>
          <w:bCs/>
        </w:rPr>
        <w:t xml:space="preserve">Comités Regionales de Coordinación</w:t>
      </w:r>
      <w:r>
        <w:rPr>
          <w:rFonts w:ascii="Cambria" w:hAnsi="Cambria"/>
        </w:rPr>
        <w:t xml:space="preserve">: 6, uno por región, sin sede fija, presididos por el Coordinador Regional.</w:t>
      </w:r>
    </w:p>
    <w:p>
      <w:pPr>
        <w:numPr>
          <w:ilvl w:val="1"/>
          <w:numId w:val="1"/>
        </w:numPr>
        <w:jc w:val="both"/>
        <w:rPr>
          <w:rFonts w:ascii="Cambria" w:hAnsi="Cambria"/>
        </w:rPr>
      </w:pPr>
      <w:r>
        <w:rPr>
          <w:rFonts w:ascii="Cambria" w:hAnsi="Cambria"/>
          <w:b/>
          <w:bCs/>
        </w:rPr>
        <w:t xml:space="preserve">Comités CODEX</w:t>
      </w:r>
      <w:r>
        <w:rPr>
          <w:rFonts w:ascii="Cambria" w:hAnsi="Cambria"/>
        </w:rPr>
        <w:t xml:space="preserve">: se dividen en Comités de Asuntos Generales (u horizontales) y Comités de Productos (o verticales).</w:t>
      </w:r>
    </w:p>
    <w:p>
      <w:pPr>
        <w:numPr>
          <w:ilvl w:val="0"/>
          <w:numId w:val="1"/>
        </w:numPr>
        <w:jc w:val="both"/>
        <w:rPr>
          <w:rFonts w:ascii="Cambria" w:hAnsi="Cambria"/>
        </w:rPr>
      </w:pPr>
      <w:r>
        <w:rPr>
          <w:rFonts w:ascii="Cambria" w:hAnsi="Cambria"/>
        </w:rPr>
        <w:t xml:space="preserve">Existen </w:t>
      </w:r>
      <w:r>
        <w:rPr>
          <w:rFonts w:ascii="Cambria" w:hAnsi="Cambria"/>
          <w:b/>
          <w:bCs/>
        </w:rPr>
        <w:t xml:space="preserve">10 Comités de Asuntos Generales</w:t>
      </w:r>
      <w:r>
        <w:rPr>
          <w:rFonts w:ascii="Cambria" w:hAnsi="Cambria"/>
        </w:rPr>
        <w:t xml:space="preserve"> activos, entre ellos los de Principios Generales, Residuos de Plaguicidas, Aditivos Alimentarios, Contaminantes, Etiquetado, Higiene, Métodos de Análisis, Nutrición, Residuos de Medicamentos Veterinarios y Sistemas de Inspección y Certificación.</w:t>
      </w:r>
    </w:p>
    <w:p>
      <w:pPr>
        <w:numPr>
          <w:ilvl w:val="0"/>
          <w:numId w:val="1"/>
        </w:numPr>
        <w:jc w:val="both"/>
        <w:rPr>
          <w:rFonts w:ascii="Cambria" w:hAnsi="Cambria"/>
        </w:rPr>
      </w:pPr>
      <w:r>
        <w:rPr>
          <w:rFonts w:ascii="Cambria" w:hAnsi="Cambria"/>
        </w:rPr>
        <w:t xml:space="preserve">Los </w:t>
      </w:r>
      <w:r>
        <w:rPr>
          <w:rFonts w:ascii="Cambria" w:hAnsi="Cambria"/>
          <w:b/>
          <w:bCs/>
        </w:rPr>
        <w:t xml:space="preserve">Comités de Productos</w:t>
      </w:r>
      <w:r>
        <w:rPr>
          <w:rFonts w:ascii="Cambria" w:hAnsi="Cambria"/>
        </w:rPr>
        <w:t xml:space="preserve"> activos son los de Frutas y Hortalizas Frescas, Grasas y Aceites, y Especias y Hierbas Culinarias, mientras otros permanecen aplazados o en situación intermedia.</w:t>
      </w:r>
    </w:p>
    <w:p>
      <w:pPr>
        <w:pStyle w:val="Ttulo2"/>
        <w:jc w:val="both"/>
        <w:rPr>
          <w:rFonts w:ascii="Cambria" w:hAnsi="Cambria"/>
          <w:b/>
          <w:bCs/>
          <w:color w:val="auto"/>
          <w:sz w:val="24"/>
          <w:szCs w:val="24"/>
        </w:rPr>
      </w:pPr>
      <w:r>
        <w:rPr>
          <w:rFonts w:ascii="Cambria" w:hAnsi="Cambria"/>
          <w:b/>
          <w:bCs/>
          <w:color w:val="auto"/>
          <w:sz w:val="24"/>
          <w:szCs w:val="24"/>
        </w:rPr>
        <w:t xml:space="preserve">3.2. Funcionamiento</w:t>
      </w:r>
    </w:p>
    <w:p>
      <w:pPr>
        <w:numPr>
          <w:ilvl w:val="0"/>
          <w:numId w:val="1"/>
        </w:numPr>
        <w:jc w:val="both"/>
        <w:rPr>
          <w:rFonts w:ascii="Cambria" w:hAnsi="Cambria"/>
        </w:rPr>
      </w:pPr>
      <w:r>
        <w:rPr>
          <w:rFonts w:ascii="Cambria" w:hAnsi="Cambria"/>
        </w:rPr>
        <w:t xml:space="preserve">El CODEX Alimentarius comprende </w:t>
      </w:r>
      <w:r>
        <w:rPr>
          <w:rFonts w:ascii="Cambria" w:hAnsi="Cambria"/>
          <w:b/>
          <w:bCs/>
        </w:rPr>
        <w:t xml:space="preserve">normas, códigos de prácticas, directrices y recomendaciones</w:t>
      </w:r>
      <w:r>
        <w:rPr>
          <w:rFonts w:ascii="Cambria" w:hAnsi="Cambria"/>
        </w:rPr>
        <w:t xml:space="preserve">.</w:t>
      </w:r>
    </w:p>
    <w:p>
      <w:pPr>
        <w:numPr>
          <w:ilvl w:val="0"/>
          <w:numId w:val="1"/>
        </w:numPr>
        <w:jc w:val="both"/>
        <w:rPr>
          <w:rFonts w:ascii="Cambria" w:hAnsi="Cambria"/>
        </w:rPr>
      </w:pPr>
      <w:r>
        <w:rPr>
          <w:rFonts w:ascii="Cambria" w:hAnsi="Cambria"/>
          <w:b/>
          <w:bCs/>
        </w:rPr>
        <w:t xml:space="preserve">Normas Generales</w:t>
      </w:r>
      <w:r>
        <w:rPr>
          <w:rFonts w:ascii="Cambria" w:hAnsi="Cambria"/>
        </w:rPr>
        <w:t xml:space="preserve">: regulan una sola característica, como el etiquetado de alimentos preenvasados o los Límites Máximos de Residuos (LMR).</w:t>
      </w:r>
    </w:p>
    <w:p>
      <w:pPr>
        <w:numPr>
          <w:ilvl w:val="0"/>
          <w:numId w:val="1"/>
        </w:numPr>
        <w:jc w:val="both"/>
        <w:rPr>
          <w:rFonts w:ascii="Cambria" w:hAnsi="Cambria"/>
        </w:rPr>
      </w:pPr>
      <w:r>
        <w:rPr>
          <w:rFonts w:ascii="Cambria" w:hAnsi="Cambria"/>
          <w:b/>
          <w:bCs/>
        </w:rPr>
        <w:t xml:space="preserve">Normas para Productos</w:t>
      </w:r>
      <w:r>
        <w:rPr>
          <w:rFonts w:ascii="Cambria" w:hAnsi="Cambria"/>
        </w:rPr>
        <w:t xml:space="preserve">: describen todas las características del alimento regulado y constituyen el grupo más numeroso.</w:t>
      </w:r>
    </w:p>
    <w:p>
      <w:pPr>
        <w:numPr>
          <w:ilvl w:val="0"/>
          <w:numId w:val="1"/>
        </w:numPr>
        <w:jc w:val="both"/>
        <w:rPr>
          <w:rFonts w:ascii="Cambria" w:hAnsi="Cambria"/>
        </w:rPr>
      </w:pPr>
      <w:r>
        <w:rPr>
          <w:rFonts w:ascii="Cambria" w:hAnsi="Cambria"/>
        </w:rPr>
        <w:t xml:space="preserve">Estructura habitual de las normas para productos</w:t>
      </w:r>
    </w:p>
    <w:p>
      <w:pPr>
        <w:numPr>
          <w:ilvl w:val="1"/>
          <w:numId w:val="1"/>
        </w:numPr>
        <w:jc w:val="both"/>
        <w:rPr>
          <w:rFonts w:ascii="Cambria" w:hAnsi="Cambria"/>
        </w:rPr>
      </w:pPr>
      <w:r>
        <w:rPr>
          <w:rFonts w:ascii="Cambria" w:hAnsi="Cambria"/>
        </w:rPr>
        <w:t xml:space="preserve">Ámbito de aplicación.</w:t>
      </w:r>
    </w:p>
    <w:p>
      <w:pPr>
        <w:numPr>
          <w:ilvl w:val="1"/>
          <w:numId w:val="1"/>
        </w:numPr>
        <w:jc w:val="both"/>
        <w:rPr>
          <w:rFonts w:ascii="Cambria" w:hAnsi="Cambria"/>
        </w:rPr>
      </w:pPr>
      <w:r>
        <w:rPr>
          <w:rFonts w:ascii="Cambria" w:hAnsi="Cambria"/>
        </w:rPr>
        <w:t xml:space="preserve">Descripción.</w:t>
      </w:r>
    </w:p>
    <w:p>
      <w:pPr>
        <w:numPr>
          <w:ilvl w:val="1"/>
          <w:numId w:val="1"/>
        </w:numPr>
        <w:jc w:val="both"/>
        <w:rPr>
          <w:rFonts w:ascii="Cambria" w:hAnsi="Cambria"/>
        </w:rPr>
      </w:pPr>
      <w:r>
        <w:rPr>
          <w:rFonts w:ascii="Cambria" w:hAnsi="Cambria"/>
        </w:rPr>
        <w:t xml:space="preserve">Composición y factores de calidad.</w:t>
      </w:r>
    </w:p>
    <w:p>
      <w:pPr>
        <w:numPr>
          <w:ilvl w:val="1"/>
          <w:numId w:val="1"/>
        </w:numPr>
        <w:jc w:val="both"/>
        <w:rPr>
          <w:rFonts w:ascii="Cambria" w:hAnsi="Cambria"/>
        </w:rPr>
      </w:pPr>
      <w:r>
        <w:rPr>
          <w:rFonts w:ascii="Cambria" w:hAnsi="Cambria"/>
        </w:rPr>
        <w:t xml:space="preserve">Aditivos alimentarios, conforme a la Norma General del CODEX para los Aditivos Alimentarios.</w:t>
      </w:r>
    </w:p>
    <w:p>
      <w:pPr>
        <w:numPr>
          <w:ilvl w:val="1"/>
          <w:numId w:val="1"/>
        </w:numPr>
        <w:jc w:val="both"/>
        <w:rPr>
          <w:rFonts w:ascii="Cambria" w:hAnsi="Cambria"/>
        </w:rPr>
      </w:pPr>
      <w:r>
        <w:rPr>
          <w:rFonts w:ascii="Cambria" w:hAnsi="Cambria"/>
        </w:rPr>
        <w:t xml:space="preserve">Contaminantes, conforme a la Norma General del CODEX para los Contaminantes y las Toxinas en los Alimentos.</w:t>
      </w:r>
    </w:p>
    <w:p>
      <w:pPr>
        <w:numPr>
          <w:ilvl w:val="1"/>
          <w:numId w:val="1"/>
        </w:numPr>
        <w:jc w:val="both"/>
        <w:rPr>
          <w:rFonts w:ascii="Cambria" w:hAnsi="Cambria"/>
        </w:rPr>
      </w:pPr>
      <w:r>
        <w:rPr>
          <w:rFonts w:ascii="Cambria" w:hAnsi="Cambria"/>
        </w:rPr>
        <w:t xml:space="preserve">Higiene, con referencia a los Códigos de Prácticas de Higiene del CODEX.</w:t>
      </w:r>
    </w:p>
    <w:p>
      <w:pPr>
        <w:numPr>
          <w:ilvl w:val="1"/>
          <w:numId w:val="1"/>
        </w:numPr>
        <w:jc w:val="both"/>
        <w:rPr>
          <w:rFonts w:ascii="Cambria" w:hAnsi="Cambria"/>
        </w:rPr>
      </w:pPr>
      <w:r>
        <w:rPr>
          <w:rFonts w:ascii="Cambria" w:hAnsi="Cambria"/>
        </w:rPr>
        <w:t xml:space="preserve">Pesos y medidas.</w:t>
      </w:r>
    </w:p>
    <w:p>
      <w:pPr>
        <w:numPr>
          <w:ilvl w:val="1"/>
          <w:numId w:val="1"/>
        </w:numPr>
        <w:jc w:val="both"/>
        <w:rPr>
          <w:rFonts w:ascii="Cambria" w:hAnsi="Cambria"/>
        </w:rPr>
      </w:pPr>
      <w:r>
        <w:rPr>
          <w:rFonts w:ascii="Cambria" w:hAnsi="Cambria"/>
        </w:rPr>
        <w:t xml:space="preserve">Etiquetado, conforme a la Norma General del CODEX para el Etiquetado de los Alimentos Preenvasados.</w:t>
      </w:r>
    </w:p>
    <w:p>
      <w:pPr>
        <w:numPr>
          <w:ilvl w:val="1"/>
          <w:numId w:val="1"/>
        </w:numPr>
        <w:jc w:val="both"/>
        <w:rPr>
          <w:rFonts w:ascii="Cambria" w:hAnsi="Cambria"/>
        </w:rPr>
      </w:pPr>
      <w:r>
        <w:rPr>
          <w:rFonts w:ascii="Cambria" w:hAnsi="Cambria"/>
        </w:rPr>
        <w:t xml:space="preserve">Métodos de análisis y muestreo.</w:t>
      </w:r>
    </w:p>
    <w:p>
      <w:pPr>
        <w:numPr>
          <w:ilvl w:val="0"/>
          <w:numId w:val="1"/>
        </w:numPr>
        <w:jc w:val="both"/>
        <w:rPr>
          <w:rFonts w:ascii="Cambria" w:hAnsi="Cambria"/>
        </w:rPr>
      </w:pPr>
      <w:r>
        <w:rPr>
          <w:rFonts w:ascii="Cambria" w:hAnsi="Cambria"/>
        </w:rPr>
        <w:t xml:space="preserve">Los </w:t>
      </w:r>
      <w:r>
        <w:rPr>
          <w:rFonts w:ascii="Cambria" w:hAnsi="Cambria"/>
          <w:b/>
          <w:bCs/>
        </w:rPr>
        <w:t xml:space="preserve">Códigos de Prácticas</w:t>
      </w:r>
      <w:r>
        <w:rPr>
          <w:rFonts w:ascii="Cambria" w:hAnsi="Cambria"/>
        </w:rPr>
        <w:t xml:space="preserve"> definen prácticas de producción, elaboración, transporte y almacenamiento.</w:t>
      </w:r>
    </w:p>
    <w:p>
      <w:pPr>
        <w:numPr>
          <w:ilvl w:val="0"/>
          <w:numId w:val="1"/>
        </w:numPr>
        <w:jc w:val="both"/>
        <w:rPr>
          <w:rFonts w:ascii="Cambria" w:hAnsi="Cambria"/>
        </w:rPr>
      </w:pPr>
      <w:r>
        <w:rPr>
          <w:rFonts w:ascii="Cambria" w:hAnsi="Cambria"/>
        </w:rPr>
        <w:t xml:space="preserve">Los </w:t>
      </w:r>
      <w:r>
        <w:rPr>
          <w:rFonts w:ascii="Cambria" w:hAnsi="Cambria"/>
          <w:b/>
          <w:bCs/>
        </w:rPr>
        <w:t xml:space="preserve">Principios Generales del CODEX de Higiene de los Alimentos</w:t>
      </w:r>
      <w:r>
        <w:rPr>
          <w:rFonts w:ascii="Cambria" w:hAnsi="Cambria"/>
        </w:rPr>
        <w:t xml:space="preserve"> introducen el sistema </w:t>
      </w:r>
      <w:r>
        <w:rPr>
          <w:rFonts w:ascii="Cambria" w:hAnsi="Cambria"/>
          <w:b/>
          <w:bCs/>
        </w:rPr>
        <w:t xml:space="preserve">APPCC</w:t>
      </w:r>
      <w:r>
        <w:rPr>
          <w:rFonts w:ascii="Cambria" w:hAnsi="Cambria"/>
        </w:rPr>
        <w:t xml:space="preserve"> (Análisis de Peligros y Puntos Críticos de Control).</w:t>
      </w:r>
    </w:p>
    <w:p>
      <w:pPr>
        <w:numPr>
          <w:ilvl w:val="0"/>
          <w:numId w:val="1"/>
        </w:numPr>
        <w:jc w:val="both"/>
        <w:rPr>
          <w:rFonts w:ascii="Cambria" w:hAnsi="Cambria"/>
        </w:rPr>
      </w:pPr>
      <w:r>
        <w:rPr>
          <w:rFonts w:ascii="Cambria" w:hAnsi="Cambria"/>
        </w:rPr>
        <w:t xml:space="preserve">Las </w:t>
      </w:r>
      <w:r>
        <w:rPr>
          <w:rFonts w:ascii="Cambria" w:hAnsi="Cambria"/>
          <w:b/>
          <w:bCs/>
        </w:rPr>
        <w:t xml:space="preserve">Directrices</w:t>
      </w:r>
      <w:r>
        <w:rPr>
          <w:rFonts w:ascii="Cambria" w:hAnsi="Cambria"/>
        </w:rPr>
        <w:t xml:space="preserve"> se dividen en Principios (fijan políticas) y Directrices propiamente dichas (interpretan Principios o Normas Generales).</w:t>
      </w:r>
    </w:p>
    <w:p>
      <w:pPr>
        <w:pStyle w:val="Ttulo1"/>
        <w:jc w:val="both"/>
        <w:rPr>
          <w:rFonts w:ascii="Cambria" w:hAnsi="Cambria"/>
          <w:b/>
          <w:bCs/>
          <w:color w:val="auto"/>
          <w:sz w:val="28"/>
          <w:szCs w:val="28"/>
        </w:rPr>
      </w:pPr>
      <w:r>
        <w:rPr>
          <w:rFonts w:ascii="Cambria" w:hAnsi="Cambria"/>
          <w:b/>
          <w:bCs/>
          <w:color w:val="auto"/>
          <w:sz w:val="28"/>
          <w:szCs w:val="28"/>
        </w:rPr>
        <w:t xml:space="preserve">4. ELABORACIÓN DE NORMAS CODEX</w:t>
      </w:r>
    </w:p>
    <w:p>
      <w:pPr>
        <w:numPr>
          <w:ilvl w:val="0"/>
          <w:numId w:val="1"/>
        </w:numPr>
        <w:jc w:val="both"/>
        <w:rPr>
          <w:rFonts w:ascii="Cambria" w:hAnsi="Cambria"/>
        </w:rPr>
      </w:pPr>
      <w:r>
        <w:rPr>
          <w:rFonts w:ascii="Cambria" w:hAnsi="Cambria"/>
        </w:rPr>
        <w:t xml:space="preserve">Las normas CODEX son normas internacionales reconocidas explícitamente por el </w:t>
      </w:r>
      <w:r>
        <w:rPr>
          <w:rFonts w:ascii="Cambria" w:hAnsi="Cambria"/>
          <w:b/>
          <w:bCs/>
        </w:rPr>
        <w:t xml:space="preserve">Acuerdo SPS</w:t>
      </w:r>
      <w:r>
        <w:rPr>
          <w:rFonts w:ascii="Cambria" w:hAnsi="Cambria"/>
        </w:rPr>
        <w:t xml:space="preserve"> de la OMC.</w:t>
      </w:r>
    </w:p>
    <w:p>
      <w:pPr>
        <w:numPr>
          <w:ilvl w:val="0"/>
          <w:numId w:val="1"/>
        </w:numPr>
        <w:jc w:val="both"/>
        <w:rPr>
          <w:rFonts w:ascii="Cambria" w:hAnsi="Cambria"/>
        </w:rPr>
      </w:pPr>
      <w:r>
        <w:rPr>
          <w:rFonts w:ascii="Cambria" w:hAnsi="Cambria"/>
        </w:rPr>
        <w:t xml:space="preserve">Cualquier desviación de una norma CODEX debe justificarse, so pena de constituir obstáculo al comercio, como ocurrió en la diferencia planteada por Perú contra la UE sobre las conservas de sardinas, resuelta contra la UE por incumplir el Acuerdo TBT.</w:t>
      </w:r>
    </w:p>
    <w:p>
      <w:pPr>
        <w:numPr>
          <w:ilvl w:val="0"/>
          <w:numId w:val="1"/>
        </w:numPr>
        <w:jc w:val="both"/>
        <w:rPr>
          <w:rFonts w:ascii="Cambria" w:hAnsi="Cambria"/>
        </w:rPr>
      </w:pPr>
      <w:r>
        <w:rPr>
          <w:rFonts w:ascii="Cambria" w:hAnsi="Cambria"/>
        </w:rPr>
        <w:t xml:space="preserve">Existen dos procedimientos de elaboración, previstos en el Reglamento de la Comisión</w:t>
      </w:r>
    </w:p>
    <w:p>
      <w:pPr>
        <w:numPr>
          <w:ilvl w:val="1"/>
          <w:numId w:val="1"/>
        </w:numPr>
        <w:jc w:val="both"/>
        <w:rPr>
          <w:rFonts w:ascii="Cambria" w:hAnsi="Cambria"/>
        </w:rPr>
      </w:pPr>
      <w:r>
        <w:rPr>
          <w:rFonts w:ascii="Cambria" w:hAnsi="Cambria"/>
          <w:b/>
          <w:bCs/>
        </w:rPr>
        <w:t xml:space="preserve">Procedimiento Uniforme</w:t>
      </w:r>
      <w:r>
        <w:rPr>
          <w:rFonts w:ascii="Cambria" w:hAnsi="Cambria"/>
        </w:rPr>
        <w:t xml:space="preserve">, de 8 etapas: decisión de iniciar la norma, anteproyecto, consulta, enmienda, adopción como proyecto, nueva consulta, nueva enmienda y adopción final como norma del CODEX.</w:t>
      </w:r>
    </w:p>
    <w:p>
      <w:pPr>
        <w:numPr>
          <w:ilvl w:val="1"/>
          <w:numId w:val="1"/>
        </w:numPr>
        <w:jc w:val="both"/>
        <w:rPr>
          <w:rFonts w:ascii="Cambria" w:hAnsi="Cambria"/>
        </w:rPr>
      </w:pPr>
      <w:r>
        <w:rPr>
          <w:rFonts w:ascii="Cambria" w:hAnsi="Cambria"/>
          <w:b/>
          <w:bCs/>
        </w:rPr>
        <w:t xml:space="preserve">Procedimiento Acelerado</w:t>
      </w:r>
      <w:r>
        <w:rPr>
          <w:rFonts w:ascii="Cambria" w:hAnsi="Cambria"/>
        </w:rPr>
        <w:t xml:space="preserve">, de 5 etapas: inicio por mayoría de dos tercios de la Comisión o el Comité Ejecutivo, anteproyecto, consulta, enmienda y adopción como norma.</w:t>
      </w:r>
    </w:p>
    <w:p>
      <w:pPr>
        <w:numPr>
          <w:ilvl w:val="0"/>
          <w:numId w:val="1"/>
        </w:numPr>
        <w:jc w:val="both"/>
        <w:rPr>
          <w:rFonts w:ascii="Cambria" w:hAnsi="Cambria"/>
        </w:rPr>
      </w:pPr>
      <w:r>
        <w:rPr>
          <w:rFonts w:ascii="Cambria" w:hAnsi="Cambria"/>
        </w:rPr>
        <w:t xml:space="preserve">Existen actualmente </w:t>
      </w:r>
      <w:r>
        <w:rPr>
          <w:rFonts w:ascii="Cambria" w:hAnsi="Cambria"/>
          <w:b/>
          <w:bCs/>
        </w:rPr>
        <w:t xml:space="preserve">más de 200 normas</w:t>
      </w:r>
      <w:r>
        <w:rPr>
          <w:rFonts w:ascii="Cambria" w:hAnsi="Cambria"/>
        </w:rPr>
        <w:t xml:space="preserve"> de productos alimentarios, además de normas generales, directrices y códigos de prácticas transversales.</w:t>
      </w:r>
    </w:p>
    <w:p>
      <w:pPr>
        <w:numPr>
          <w:ilvl w:val="0"/>
          <w:numId w:val="1"/>
        </w:numPr>
        <w:jc w:val="both"/>
        <w:rPr>
          <w:rFonts w:ascii="Cambria" w:hAnsi="Cambria"/>
        </w:rPr>
      </w:pPr>
      <w:r>
        <w:rPr>
          <w:rFonts w:ascii="Cambria" w:hAnsi="Cambria"/>
        </w:rPr>
        <w:t xml:space="preserve">No todos los productos cuentan con norma CODEX, bien porque no se ha detectado la necesidad, bien porque no se alcanza el consenso suficiente.</w:t>
      </w:r>
    </w:p>
    <w:p>
      <w:pPr>
        <w:numPr>
          <w:ilvl w:val="0"/>
          <w:numId w:val="1"/>
        </w:numPr>
        <w:jc w:val="both"/>
        <w:rPr>
          <w:rFonts w:ascii="Cambria" w:hAnsi="Cambria"/>
        </w:rPr>
      </w:pPr>
      <w:r>
        <w:rPr>
          <w:rFonts w:ascii="Cambria" w:hAnsi="Cambria"/>
        </w:rPr>
        <w:t xml:space="preserve">Los </w:t>
      </w:r>
      <w:r>
        <w:rPr>
          <w:rFonts w:ascii="Cambria" w:hAnsi="Cambria"/>
          <w:b/>
          <w:bCs/>
        </w:rPr>
        <w:t xml:space="preserve">Comités Regionales de Coordinación</w:t>
      </w:r>
      <w:r>
        <w:rPr>
          <w:rFonts w:ascii="Cambria" w:hAnsi="Cambria"/>
        </w:rPr>
        <w:t xml:space="preserve"> pueden elaborar normas de ámbito regional, votadas solo por los Miembros de esa región, aunque con traslado y valoración de comentarios del resto de la Comisión.</w:t>
      </w:r>
    </w:p>
    <w:p>
      <w:pPr>
        <w:numPr>
          <w:ilvl w:val="0"/>
          <w:numId w:val="1"/>
        </w:numPr>
        <w:jc w:val="both"/>
        <w:rPr>
          <w:rFonts w:ascii="Cambria" w:hAnsi="Cambria"/>
        </w:rPr>
      </w:pPr>
      <w:r>
        <w:rPr>
          <w:rFonts w:ascii="Cambria" w:hAnsi="Cambria"/>
        </w:rPr>
        <w:t xml:space="preserve">Las normas CODEX son dinámicas, pueden revisarse y las normas regionales pueden extenderse a otras regiones o ser sustituidas por una norma CODEX general.</w:t>
      </w:r>
    </w:p>
    <w:p>
      <w:pPr>
        <w:pStyle w:val="Ttulo1"/>
        <w:jc w:val="both"/>
        <w:rPr>
          <w:rFonts w:ascii="Cambria" w:hAnsi="Cambria"/>
          <w:b/>
          <w:bCs/>
          <w:color w:val="auto"/>
          <w:sz w:val="28"/>
          <w:szCs w:val="28"/>
        </w:rPr>
      </w:pPr>
      <w:r>
        <w:rPr>
          <w:rFonts w:ascii="Cambria" w:hAnsi="Cambria"/>
          <w:b/>
          <w:bCs/>
          <w:color w:val="auto"/>
          <w:sz w:val="28"/>
          <w:szCs w:val="28"/>
        </w:rPr>
        <w:t xml:space="preserve">5. COMITÉS DE ASUNTOS GENERALES, SECTORIALES Y MIXTOS</w:t>
      </w:r>
    </w:p>
    <w:p>
      <w:pPr>
        <w:numPr>
          <w:ilvl w:val="0"/>
          <w:numId w:val="1"/>
        </w:numPr>
        <w:jc w:val="both"/>
        <w:rPr>
          <w:rFonts w:ascii="Cambria" w:hAnsi="Cambria"/>
        </w:rPr>
      </w:pPr>
      <w:r>
        <w:rPr>
          <w:rFonts w:ascii="Cambria" w:hAnsi="Cambria"/>
        </w:rPr>
        <w:t xml:space="preserve">Los </w:t>
      </w:r>
      <w:r>
        <w:rPr>
          <w:rFonts w:ascii="Cambria" w:hAnsi="Cambria"/>
          <w:b/>
          <w:bCs/>
        </w:rPr>
        <w:t xml:space="preserve">Comités Mixtos</w:t>
      </w:r>
      <w:r>
        <w:rPr>
          <w:rFonts w:ascii="Cambria" w:hAnsi="Cambria"/>
        </w:rPr>
        <w:t xml:space="preserve"> y reuniones mixtas FAO/OMS no pertenecen a la estructura de la Comisión, pero aportan asesoramiento científico independiente.</w:t>
      </w:r>
    </w:p>
    <w:p>
      <w:pPr>
        <w:numPr>
          <w:ilvl w:val="0"/>
          <w:numId w:val="1"/>
        </w:numPr>
        <w:jc w:val="both"/>
        <w:rPr>
          <w:rFonts w:ascii="Cambria" w:hAnsi="Cambria"/>
        </w:rPr>
      </w:pPr>
      <w:r>
        <w:rPr>
          <w:rFonts w:ascii="Cambria" w:hAnsi="Cambria"/>
          <w:b/>
          <w:bCs/>
        </w:rPr>
        <w:t xml:space="preserve">Comité del CODEX sobre Etiquetado de los Alimentos</w:t>
      </w:r>
      <w:r>
        <w:rPr>
          <w:rFonts w:ascii="Cambria" w:hAnsi="Cambria"/>
        </w:rPr>
        <w:t xml:space="preserve">: elaboró la Norma General para el Etiquetado de los Alimentos Preenvasados y examina el resto de disposiciones de etiquetado.</w:t>
      </w:r>
    </w:p>
    <w:p>
      <w:pPr>
        <w:numPr>
          <w:ilvl w:val="0"/>
          <w:numId w:val="1"/>
        </w:numPr>
        <w:jc w:val="both"/>
        <w:rPr>
          <w:rFonts w:ascii="Cambria" w:hAnsi="Cambria"/>
        </w:rPr>
      </w:pPr>
      <w:r>
        <w:rPr>
          <w:rFonts w:ascii="Cambria" w:hAnsi="Cambria"/>
          <w:b/>
          <w:bCs/>
        </w:rPr>
        <w:t xml:space="preserve">Comité del CODEX sobre los Sistemas de Inspección y Certificación de Importaciones y Exportaciones de Alimentos</w:t>
      </w:r>
      <w:r>
        <w:rPr>
          <w:rFonts w:ascii="Cambria" w:hAnsi="Cambria"/>
        </w:rPr>
        <w:t xml:space="preserve">: elabora principios y directrices de armonización, se reúne cada dos años, normalmente en Australia.</w:t>
      </w:r>
    </w:p>
    <w:p>
      <w:pPr>
        <w:numPr>
          <w:ilvl w:val="0"/>
          <w:numId w:val="1"/>
        </w:numPr>
        <w:jc w:val="both"/>
        <w:rPr>
          <w:rFonts w:ascii="Cambria" w:hAnsi="Cambria"/>
        </w:rPr>
      </w:pPr>
      <w:r>
        <w:rPr>
          <w:rFonts w:ascii="Cambria" w:hAnsi="Cambria"/>
          <w:b/>
          <w:bCs/>
        </w:rPr>
        <w:t xml:space="preserve">Comité del CODEX sobre Frutas y Hortalizas Frescas</w:t>
      </w:r>
      <w:r>
        <w:rPr>
          <w:rFonts w:ascii="Cambria" w:hAnsi="Cambria"/>
        </w:rPr>
        <w:t xml:space="preserve">: Comité Sectorial, elabora normas y códigos de prácticas para frutas y hortalizas frescas, coordinándose con la CEPE/UN. Se reúne cada uno o dos años, normalmente en México.</w:t>
      </w:r>
    </w:p>
    <w:p>
      <w:pPr>
        <w:numPr>
          <w:ilvl w:val="1"/>
          <w:numId w:val="1"/>
        </w:numPr>
        <w:jc w:val="both"/>
        <w:rPr>
          <w:rFonts w:ascii="Cambria" w:hAnsi="Cambria"/>
        </w:rPr>
      </w:pPr>
      <w:r>
        <w:rPr>
          <w:rFonts w:ascii="Cambria" w:hAnsi="Cambria"/>
        </w:rPr>
        <w:t xml:space="preserve">Ha elaborado el Código de Prácticas para la Inspección y Certificación de la Calidad de Frutas y Hortalizas Frescas y el Código de Prácticas para el Envasado y Transporte.</w:t>
      </w:r>
    </w:p>
    <w:p>
      <w:pPr>
        <w:numPr>
          <w:ilvl w:val="1"/>
          <w:numId w:val="1"/>
        </w:numPr>
        <w:jc w:val="both"/>
        <w:rPr>
          <w:rFonts w:ascii="Cambria" w:hAnsi="Cambria"/>
        </w:rPr>
      </w:pPr>
      <w:r>
        <w:rPr>
          <w:rFonts w:ascii="Cambria" w:hAnsi="Cambria"/>
        </w:rPr>
        <w:t xml:space="preserve">Sus normas siguen un formato propio: definición del producto, disposiciones de calidad, clasificación por calibres, tolerancias, presentación, marcado o etiquetado, y contaminantes e higiene.</w:t>
      </w:r>
    </w:p>
    <w:p>
      <w:pPr>
        <w:numPr>
          <w:ilvl w:val="1"/>
          <w:numId w:val="1"/>
        </w:numPr>
        <w:jc w:val="both"/>
        <w:rPr>
          <w:rFonts w:ascii="Cambria" w:hAnsi="Cambria"/>
        </w:rPr>
      </w:pPr>
      <w:r>
        <w:rPr>
          <w:rFonts w:ascii="Cambria" w:hAnsi="Cambria"/>
        </w:rPr>
        <w:t xml:space="preserve">En su vigésimo tercera sesión (México, 2025) avanzó en las normas para dátil fresco y hojas frescas de curry, e inició trabajos sobre cúrcuma fresca.</w:t>
      </w:r>
    </w:p>
    <w:p>
      <w:pPr>
        <w:numPr>
          <w:ilvl w:val="0"/>
          <w:numId w:val="1"/>
        </w:numPr>
        <w:jc w:val="both"/>
        <w:rPr>
          <w:rFonts w:ascii="Cambria" w:hAnsi="Cambria"/>
        </w:rPr>
      </w:pPr>
      <w:r>
        <w:rPr>
          <w:rFonts w:ascii="Cambria" w:hAnsi="Cambria"/>
          <w:b/>
          <w:bCs/>
        </w:rPr>
        <w:t xml:space="preserve">JECFA</w:t>
      </w:r>
      <w:r>
        <w:rPr>
          <w:rFonts w:ascii="Cambria" w:hAnsi="Cambria"/>
        </w:rPr>
        <w:t xml:space="preserve"> (Comité Mixto FAO/OMS de Expertos en Aditivos Alimentarios): establecido en 1955, evalúa aditivos, contaminantes y residuos de medicamentos veterinarios. Ha evaluado más de </w:t>
      </w:r>
      <w:r>
        <w:rPr>
          <w:rFonts w:ascii="Cambria" w:hAnsi="Cambria"/>
          <w:b/>
          <w:bCs/>
        </w:rPr>
        <w:t xml:space="preserve">2.600 aditivos</w:t>
      </w:r>
      <w:r>
        <w:rPr>
          <w:rFonts w:ascii="Cambria" w:hAnsi="Cambria"/>
        </w:rPr>
        <w:t xml:space="preserve">, unos 50 contaminantes y residuos de unos 75 medicamentos veterinarios.</w:t>
      </w:r>
    </w:p>
    <w:p>
      <w:pPr>
        <w:numPr>
          <w:ilvl w:val="0"/>
          <w:numId w:val="1"/>
        </w:numPr>
        <w:jc w:val="both"/>
        <w:rPr>
          <w:rFonts w:ascii="Cambria" w:hAnsi="Cambria"/>
        </w:rPr>
      </w:pPr>
      <w:r>
        <w:rPr>
          <w:rFonts w:ascii="Cambria" w:hAnsi="Cambria"/>
          <w:b/>
          <w:bCs/>
        </w:rPr>
        <w:t xml:space="preserve">JMPR</w:t>
      </w:r>
      <w:r>
        <w:rPr>
          <w:rFonts w:ascii="Cambria" w:hAnsi="Cambria"/>
        </w:rPr>
        <w:t xml:space="preserve"> (Reuniones Conjuntas FAO/OMS sobre Residuos de Plaguicidas): establecidas en 1963, recomiendan los LMR de plaguicidas que el Comité del CODEX sobre Residuos de Plaguicidas eleva a la Comisión.</w:t>
      </w:r>
    </w:p>
    <w:p>
      <w:pPr>
        <w:numPr>
          <w:ilvl w:val="0"/>
          <w:numId w:val="1"/>
        </w:numPr>
        <w:jc w:val="both"/>
        <w:rPr>
          <w:rFonts w:ascii="Cambria" w:hAnsi="Cambria"/>
        </w:rPr>
      </w:pPr>
      <w:r>
        <w:rPr>
          <w:rFonts w:ascii="Cambria" w:hAnsi="Cambria"/>
          <w:b/>
          <w:bCs/>
        </w:rPr>
        <w:t xml:space="preserve">JEMRA</w:t>
      </w:r>
      <w:r>
        <w:rPr>
          <w:rFonts w:ascii="Cambria" w:hAnsi="Cambria"/>
        </w:rPr>
        <w:t xml:space="preserve"> (Evaluación de Riesgos Microbiológicos): activas desde 2000, aplican el mecanismo de Evaluación de los Riesgos Microbiológicos.</w:t>
      </w:r>
    </w:p>
    <w:p>
      <w:pPr>
        <w:numPr>
          <w:ilvl w:val="0"/>
          <w:numId w:val="1"/>
        </w:numPr>
        <w:jc w:val="both"/>
        <w:rPr>
          <w:rFonts w:ascii="Cambria" w:hAnsi="Cambria"/>
        </w:rPr>
      </w:pPr>
      <w:r>
        <w:rPr>
          <w:rFonts w:ascii="Cambria" w:hAnsi="Cambria"/>
          <w:b/>
          <w:bCs/>
        </w:rPr>
        <w:t xml:space="preserve">TFAMR</w:t>
      </w:r>
      <w:r>
        <w:rPr>
          <w:rFonts w:ascii="Cambria" w:hAnsi="Cambria"/>
        </w:rPr>
        <w:t xml:space="preserve"> (Grupo de Acción sobre la Resistencia a los Antimicrobianos): constituido en 2007, disuelto en 2011 y reactivado en 2017 con sede en Corea, revisó el Código de Prácticas sobre resistencia a los antimicrobianos bajo el enfoque One Health.</w:t>
      </w:r>
    </w:p>
    <w:p>
      <w:pPr>
        <w:numPr>
          <w:ilvl w:val="0"/>
          <w:numId w:val="1"/>
        </w:numPr>
        <w:jc w:val="both"/>
        <w:rPr>
          <w:rFonts w:ascii="Cambria" w:hAnsi="Cambria"/>
        </w:rPr>
      </w:pPr>
      <w:r>
        <w:rPr>
          <w:rFonts w:ascii="Cambria" w:hAnsi="Cambria"/>
          <w:b/>
          <w:bCs/>
        </w:rPr>
        <w:t xml:space="preserve">JEMNU</w:t>
      </w:r>
      <w:r>
        <w:rPr>
          <w:rFonts w:ascii="Cambria" w:hAnsi="Cambria"/>
        </w:rPr>
        <w:t xml:space="preserve"> (Reuniones Conjuntas de Expertos sobre Nutrición): creadas en 2010, asesoran al Comité del CODEX sobre Nutrición y Alimentos para Regímenes Especiales.</w:t>
      </w:r>
    </w:p>
    <w:p>
      <w:pPr>
        <w:pStyle w:val="Ttulo1"/>
        <w:jc w:val="both"/>
        <w:rPr>
          <w:rFonts w:ascii="Cambria" w:hAnsi="Cambria"/>
          <w:b/>
          <w:bCs/>
          <w:color w:val="auto"/>
          <w:sz w:val="28"/>
          <w:szCs w:val="28"/>
        </w:rPr>
      </w:pPr>
      <w:r>
        <w:rPr>
          <w:rFonts w:ascii="Cambria" w:hAnsi="Cambria"/>
          <w:b/>
          <w:bCs/>
          <w:color w:val="auto"/>
          <w:sz w:val="28"/>
          <w:szCs w:val="28"/>
        </w:rPr>
        <w:t xml:space="preserve">6. ACTIVIDADES REALIZADAS POR LA FAO</w:t>
      </w:r>
    </w:p>
    <w:p>
      <w:pPr>
        <w:numPr>
          <w:ilvl w:val="0"/>
          <w:numId w:val="1"/>
        </w:numPr>
        <w:jc w:val="both"/>
        <w:rPr>
          <w:rFonts w:ascii="Cambria" w:hAnsi="Cambria"/>
        </w:rPr>
      </w:pPr>
      <w:r>
        <w:rPr>
          <w:rFonts w:ascii="Cambria" w:hAnsi="Cambria"/>
          <w:b/>
          <w:bCs/>
        </w:rPr>
        <w:t xml:space="preserve">Código Internacional de Conducta para la Distribución y Uso de Plaguicidas</w:t>
      </w:r>
      <w:r>
        <w:rPr>
          <w:rFonts w:ascii="Cambria" w:hAnsi="Cambria"/>
        </w:rPr>
        <w:t xml:space="preserve">, adoptado por la Conferencia de la FAO en 1985, para reforzar la confianza en la reglamentación y comercialización segura de plaguicidas.</w:t>
      </w:r>
    </w:p>
    <w:p>
      <w:pPr>
        <w:numPr>
          <w:ilvl w:val="0"/>
          <w:numId w:val="1"/>
        </w:numPr>
        <w:jc w:val="both"/>
        <w:rPr>
          <w:rFonts w:ascii="Cambria" w:hAnsi="Cambria"/>
        </w:rPr>
      </w:pPr>
      <w:r>
        <w:rPr>
          <w:rFonts w:ascii="Cambria" w:hAnsi="Cambria"/>
          <w:b/>
          <w:bCs/>
        </w:rPr>
        <w:t xml:space="preserve">Procedimiento de Consentimiento Fundamentado Previo (PIC)</w:t>
      </w:r>
      <w:r>
        <w:rPr>
          <w:rFonts w:ascii="Cambria" w:hAnsi="Cambria"/>
        </w:rPr>
        <w:t xml:space="preserve">, establecido en la década de 1980, exige el consentimiento previo del importador para exportar sustancias peligrosas.</w:t>
      </w:r>
    </w:p>
    <w:p>
      <w:pPr>
        <w:numPr>
          <w:ilvl w:val="0"/>
          <w:numId w:val="1"/>
        </w:numPr>
        <w:jc w:val="both"/>
        <w:rPr>
          <w:rFonts w:ascii="Cambria" w:hAnsi="Cambria"/>
        </w:rPr>
      </w:pPr>
      <w:r>
        <w:rPr>
          <w:rFonts w:ascii="Cambria" w:hAnsi="Cambria"/>
          <w:b/>
          <w:bCs/>
        </w:rPr>
        <w:t xml:space="preserve">Convenio de Rotterdam</w:t>
      </w:r>
      <w:r>
        <w:rPr>
          <w:rFonts w:ascii="Cambria" w:hAnsi="Cambria"/>
        </w:rPr>
        <w:t xml:space="preserve">, adoptado en 1998 para dar respaldo jurídico al PIC, en vigor desde el 24 de febrero de 2004, regula importaciones y exportaciones de productos químicos y plaguicidas peligrosos.</w:t>
      </w:r>
    </w:p>
    <w:p>
      <w:pPr>
        <w:numPr>
          <w:ilvl w:val="0"/>
          <w:numId w:val="1"/>
        </w:numPr>
        <w:jc w:val="both"/>
        <w:rPr>
          <w:rFonts w:ascii="Cambria" w:hAnsi="Cambria"/>
        </w:rPr>
      </w:pPr>
      <w:r>
        <w:rPr>
          <w:rFonts w:ascii="Cambria" w:hAnsi="Cambria"/>
        </w:rPr>
        <w:t xml:space="preserve">Actividades de formación y capacitación de la FAO en protección de plantas y uso y control de plaguicidas en los alimentos.</w:t>
      </w:r>
    </w:p>
    <w:p>
      <w:pPr>
        <w:pStyle w:val="Ttulo1"/>
        <w:jc w:val="both"/>
        <w:rPr>
          <w:rFonts w:ascii="Cambria" w:hAnsi="Cambria"/>
          <w:b/>
          <w:bCs/>
          <w:color w:val="auto"/>
          <w:sz w:val="28"/>
          <w:szCs w:val="28"/>
        </w:rPr>
      </w:pPr>
      <w:r>
        <w:rPr>
          <w:rFonts w:ascii="Cambria" w:hAnsi="Cambria"/>
          <w:b/>
          <w:bCs/>
          <w:color w:val="auto"/>
          <w:sz w:val="28"/>
          <w:szCs w:val="28"/>
        </w:rPr>
        <w:t xml:space="preserve">7. CONCLUSIÓN</w:t>
      </w:r>
    </w:p>
    <w:p>
      <w:pPr>
        <w:numPr>
          <w:ilvl w:val="0"/>
          <w:numId w:val="1"/>
        </w:numPr>
        <w:jc w:val="both"/>
        <w:rPr>
          <w:rFonts w:ascii="Cambria" w:hAnsi="Cambria"/>
        </w:rPr>
      </w:pPr>
      <w:r>
        <w:rPr>
          <w:rFonts w:ascii="Cambria" w:hAnsi="Cambria"/>
        </w:rPr>
        <w:t xml:space="preserve">El CODEX Alimentarius es el principal referente internacional de normalización alimentaria, reconocido por el Acuerdo SPS como base preferente de los reglamentos técnicos de sus Miembros.</w:t>
      </w:r>
    </w:p>
    <w:p>
      <w:pPr>
        <w:numPr>
          <w:ilvl w:val="0"/>
          <w:numId w:val="1"/>
        </w:numPr>
        <w:jc w:val="both"/>
        <w:rPr>
          <w:rFonts w:ascii="Cambria" w:hAnsi="Cambria"/>
        </w:rPr>
      </w:pPr>
      <w:r>
        <w:rPr>
          <w:rFonts w:ascii="Cambria" w:hAnsi="Cambria"/>
        </w:rPr>
        <w:t xml:space="preserve">Su estructura, con la Comisión, el Comité Ejecutivo y los Comités de Asuntos Generales, Sectoriales y Mixtos, permite abordar aspectos horizontales y específicos de cada producto.</w:t>
      </w:r>
    </w:p>
    <w:p>
      <w:pPr>
        <w:numPr>
          <w:ilvl w:val="0"/>
          <w:numId w:val="1"/>
        </w:numPr>
        <w:jc w:val="both"/>
        <w:rPr>
          <w:rFonts w:ascii="Cambria" w:hAnsi="Cambria"/>
        </w:rPr>
      </w:pPr>
      <w:r>
        <w:rPr>
          <w:rFonts w:ascii="Cambria" w:hAnsi="Cambria"/>
        </w:rPr>
        <w:t xml:space="preserve">El </w:t>
      </w:r>
      <w:r>
        <w:rPr>
          <w:rFonts w:ascii="Cambria" w:hAnsi="Cambria"/>
          <w:b/>
          <w:bCs/>
        </w:rPr>
        <w:t xml:space="preserve">Plan Estratégico 2026-2031</w:t>
      </w:r>
      <w:r>
        <w:rPr>
          <w:rFonts w:ascii="Cambria" w:hAnsi="Cambria"/>
        </w:rPr>
        <w:t xml:space="preserve"> confirma su adaptación a los retos actuales, con el enfoque One Health y la digitalización de sus procedimientos.</w:t>
      </w:r>
    </w:p>
    <w:p>
      <w:pPr>
        <w:numPr>
          <w:ilvl w:val="0"/>
          <w:numId w:val="1"/>
        </w:numPr>
        <w:jc w:val="both"/>
        <w:rPr>
          <w:rFonts w:ascii="Cambria" w:hAnsi="Cambria"/>
        </w:rPr>
      </w:pPr>
      <w:r>
        <w:rPr>
          <w:rFonts w:ascii="Cambria" w:hAnsi="Cambria"/>
        </w:rPr>
        <w:t xml:space="preserve">Para España, y en particular para el </w:t>
      </w:r>
      <w:r>
        <w:rPr>
          <w:rFonts w:ascii="Cambria" w:hAnsi="Cambria"/>
          <w:b/>
          <w:bCs/>
        </w:rPr>
        <w:t xml:space="preserve">Servicio de Inspección SOIVRE</w:t>
      </w:r>
      <w:r>
        <w:rPr>
          <w:rFonts w:ascii="Cambria" w:hAnsi="Cambria"/>
        </w:rPr>
        <w:t xml:space="preserve">, el conocimiento del CODEX es esencial, dado que buena parte de las normas de calidad aplicadas al comercio exterior agroalimentario se originan en sus trabajos.</w:t>
      </w:r>
    </w:p>
    <w:sectPr w:rsidR="00A65383" w:rsidRPr="007114D7">
      <w:footerReference w:type="default" r:id="rId900"/>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3E737" w14:textId="77777777" w:rsidR="00F85B76" w:rsidRDefault="00F85B76" w:rsidP="00F85B76">
      <w:pPr>
        <w:spacing w:after="0" w:line="240" w:lineRule="auto"/>
      </w:pPr>
      <w:r>
        <w:separator/>
      </w:r>
    </w:p>
  </w:endnote>
  <w:endnote w:type="continuationSeparator" w:id="0">
    <w:p w14:paraId="147C91B0" w14:textId="77777777" w:rsidR="00F85B76" w:rsidRDefault="00F85B76" w:rsidP="00F85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http://schemas.openxmlformats.org/wordprocessingml/2006/main">
  <w:p>
    <w:pPr>
      <w:pStyle w:val="Piedepgina"/>
      <w:jc w:val="center"/>
      <w:rPr>
        <w:rFonts w:ascii="Palatino Linotype" w:eastAsia="Palatino Linotype" w:hAnsi="Palatino Linotype" w:cs="Palatino Linotype"/>
        <w:b/>
        <w:bCs/>
        <w:color w:val="000000"/>
        <w:sz w:val="24"/>
        <w:szCs w:val="24"/>
      </w:rPr>
    </w:pPr>
    <w:r>
      <w:rPr>
        <w:rFonts w:ascii="Palatino Linotype" w:eastAsia="Palatino Linotype" w:hAnsi="Palatino Linotype" w:cs="Palatino Linotype"/>
        <w:b/>
        <w:bCs/>
        <w:color w:val="000000"/>
        <w:sz w:val="24"/>
        <w:szCs w:val="24"/>
      </w:rPr>
      <w:t>SERGIO ARGUDO SANTIAGO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BA500" w14:textId="77777777" w:rsidR="00F85B76" w:rsidRDefault="00F85B76" w:rsidP="00F85B76">
      <w:pPr>
        <w:spacing w:after="0" w:line="240" w:lineRule="auto"/>
      </w:pPr>
      <w:r>
        <w:separator/>
      </w:r>
    </w:p>
  </w:footnote>
  <w:footnote w:type="continuationSeparator" w:id="0">
    <w:p w14:paraId="5EBB74E5" w14:textId="77777777" w:rsidR="00F85B76" w:rsidRDefault="00F85B76" w:rsidP="00F85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jc w:val="both"/>
      <w:rPr>
        <w:rFonts w:ascii="Palatino Linotype" w:hAnsi="Palatino Linotype"/>
        <w:i/>
        <w:iCs/>
      </w:rPr>
    </w:pPr>
    <w:r>
      <w:rPr>
        <w:rFonts w:ascii="Palatino Linotype" w:hAnsi="Palatino Linotype"/>
        <w:i/>
        <w:iCs/>
      </w:rPr>
      <w:t xml:space="preserve">TEMA 41 – Normalización internacional en el ámbito de Naciones Unidas (I): el CODEX Alimentarius. Programa conjunto FAO/OMS sobre normas alimentarias. Organización y procedimientos de elaboración de normas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82A5E"/>
    <w:multiLevelType w:val="multilevel"/>
    <w:tmpl w:val="17686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A086D"/>
    <w:multiLevelType w:val="multilevel"/>
    <w:tmpl w:val="C6368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64527"/>
    <w:multiLevelType w:val="multilevel"/>
    <w:tmpl w:val="4484D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B9671D"/>
    <w:multiLevelType w:val="multilevel"/>
    <w:tmpl w:val="FF7AB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145E70"/>
    <w:multiLevelType w:val="multilevel"/>
    <w:tmpl w:val="4CF84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082AA3"/>
    <w:multiLevelType w:val="multilevel"/>
    <w:tmpl w:val="E6004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E72879"/>
    <w:multiLevelType w:val="multilevel"/>
    <w:tmpl w:val="C3DA2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A5A7F"/>
    <w:multiLevelType w:val="multilevel"/>
    <w:tmpl w:val="EE363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890683"/>
    <w:multiLevelType w:val="multilevel"/>
    <w:tmpl w:val="F0EAD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3F2D55"/>
    <w:multiLevelType w:val="multilevel"/>
    <w:tmpl w:val="BCE4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AC63FF"/>
    <w:multiLevelType w:val="multilevel"/>
    <w:tmpl w:val="10A6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9A721B"/>
    <w:multiLevelType w:val="multilevel"/>
    <w:tmpl w:val="9654A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9D13DD"/>
    <w:multiLevelType w:val="multilevel"/>
    <w:tmpl w:val="88A6E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2984031">
    <w:abstractNumId w:val="7"/>
  </w:num>
  <w:num w:numId="2" w16cid:durableId="936329550">
    <w:abstractNumId w:val="4"/>
  </w:num>
  <w:num w:numId="3" w16cid:durableId="11223434">
    <w:abstractNumId w:val="0"/>
  </w:num>
  <w:num w:numId="4" w16cid:durableId="1698307743">
    <w:abstractNumId w:val="12"/>
  </w:num>
  <w:num w:numId="5" w16cid:durableId="1213886216">
    <w:abstractNumId w:val="11"/>
  </w:num>
  <w:num w:numId="6" w16cid:durableId="1037045334">
    <w:abstractNumId w:val="6"/>
  </w:num>
  <w:num w:numId="7" w16cid:durableId="638070075">
    <w:abstractNumId w:val="3"/>
  </w:num>
  <w:num w:numId="8" w16cid:durableId="616715768">
    <w:abstractNumId w:val="10"/>
  </w:num>
  <w:num w:numId="9" w16cid:durableId="1616985504">
    <w:abstractNumId w:val="9"/>
  </w:num>
  <w:num w:numId="10" w16cid:durableId="1055738181">
    <w:abstractNumId w:val="8"/>
  </w:num>
  <w:num w:numId="11" w16cid:durableId="928273277">
    <w:abstractNumId w:val="1"/>
  </w:num>
  <w:num w:numId="12" w16cid:durableId="919099836">
    <w:abstractNumId w:val="2"/>
  </w:num>
  <w:num w:numId="13" w16cid:durableId="522478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B76"/>
    <w:rsid w:val="00457D88"/>
    <w:rsid w:val="005803BC"/>
    <w:rsid w:val="00600D28"/>
    <w:rsid w:val="00656837"/>
    <w:rsid w:val="006A0D39"/>
    <w:rsid w:val="007114D7"/>
    <w:rsid w:val="00975640"/>
    <w:rsid w:val="00A65383"/>
    <w:rsid w:val="00A8675C"/>
    <w:rsid w:val="00BB1DEC"/>
    <w:rsid w:val="00C12CFD"/>
    <w:rsid w:val="00D45530"/>
    <w:rsid w:val="00E15422"/>
    <w:rsid w:val="00E7657A"/>
    <w:rsid w:val="00EE6C5F"/>
    <w:rsid w:val="00F85B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AF6C1"/>
  <w15:chartTrackingRefBased/>
  <w15:docId w15:val="{B64D109C-3694-4C93-A841-AE8DEB4F8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5B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85B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5B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5B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5B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5B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B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B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B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8675C"/>
    <w:pPr>
      <w:ind w:left="720"/>
      <w:contextualSpacing/>
    </w:pPr>
  </w:style>
  <w:style w:type="character" w:customStyle="1" w:styleId="Ttulo1Car">
    <w:name w:val="Título 1 Car"/>
    <w:basedOn w:val="Fuentedeprrafopredeter"/>
    <w:link w:val="Ttulo1"/>
    <w:uiPriority w:val="9"/>
    <w:rsid w:val="00F85B7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85B7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5B7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5B7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5B7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5B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B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B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B76"/>
    <w:rPr>
      <w:rFonts w:eastAsiaTheme="majorEastAsia" w:cstheme="majorBidi"/>
      <w:color w:val="272727" w:themeColor="text1" w:themeTint="D8"/>
    </w:rPr>
  </w:style>
  <w:style w:type="paragraph" w:styleId="Ttulo">
    <w:name w:val="Title"/>
    <w:basedOn w:val="Normal"/>
    <w:next w:val="Normal"/>
    <w:link w:val="TtuloCar"/>
    <w:uiPriority w:val="10"/>
    <w:qFormat/>
    <w:rsid w:val="00F85B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B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B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B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B76"/>
    <w:pPr>
      <w:spacing w:before="160"/>
      <w:jc w:val="center"/>
    </w:pPr>
    <w:rPr>
      <w:i/>
      <w:iCs/>
      <w:color w:val="404040" w:themeColor="text1" w:themeTint="BF"/>
    </w:rPr>
  </w:style>
  <w:style w:type="character" w:customStyle="1" w:styleId="CitaCar">
    <w:name w:val="Cita Car"/>
    <w:basedOn w:val="Fuentedeprrafopredeter"/>
    <w:link w:val="Cita"/>
    <w:uiPriority w:val="29"/>
    <w:rsid w:val="00F85B76"/>
    <w:rPr>
      <w:i/>
      <w:iCs/>
      <w:color w:val="404040" w:themeColor="text1" w:themeTint="BF"/>
    </w:rPr>
  </w:style>
  <w:style w:type="character" w:styleId="nfasisintenso">
    <w:name w:val="Intense Emphasis"/>
    <w:basedOn w:val="Fuentedeprrafopredeter"/>
    <w:uiPriority w:val="21"/>
    <w:qFormat/>
    <w:rsid w:val="00F85B76"/>
    <w:rPr>
      <w:i/>
      <w:iCs/>
      <w:color w:val="0F4761" w:themeColor="accent1" w:themeShade="BF"/>
    </w:rPr>
  </w:style>
  <w:style w:type="paragraph" w:styleId="Citadestacada">
    <w:name w:val="Intense Quote"/>
    <w:basedOn w:val="Normal"/>
    <w:next w:val="Normal"/>
    <w:link w:val="CitadestacadaCar"/>
    <w:uiPriority w:val="30"/>
    <w:qFormat/>
    <w:rsid w:val="00F85B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5B76"/>
    <w:rPr>
      <w:i/>
      <w:iCs/>
      <w:color w:val="0F4761" w:themeColor="accent1" w:themeShade="BF"/>
    </w:rPr>
  </w:style>
  <w:style w:type="character" w:styleId="Referenciaintensa">
    <w:name w:val="Intense Reference"/>
    <w:basedOn w:val="Fuentedeprrafopredeter"/>
    <w:uiPriority w:val="32"/>
    <w:qFormat/>
    <w:rsid w:val="00F85B76"/>
    <w:rPr>
      <w:b/>
      <w:bCs/>
      <w:smallCaps/>
      <w:color w:val="0F4761" w:themeColor="accent1" w:themeShade="BF"/>
      <w:spacing w:val="5"/>
    </w:rPr>
  </w:style>
  <w:style w:type="paragraph" w:styleId="Encabezado">
    <w:name w:val="header"/>
    <w:basedOn w:val="Normal"/>
    <w:link w:val="EncabezadoCar"/>
    <w:uiPriority w:val="99"/>
    <w:unhideWhenUsed/>
    <w:rsid w:val="00F85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B76"/>
  </w:style>
  <w:style w:type="paragraph" w:styleId="Piedepgina">
    <w:name w:val="footer"/>
    <w:basedOn w:val="Normal"/>
    <w:link w:val="PiedepginaCar"/>
    <w:uiPriority w:val="99"/>
    <w:unhideWhenUsed/>
    <w:rsid w:val="00F85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B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900"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1112</Words>
  <Characters>6119</Characters>
  <Application>Microsoft Office Word</Application>
  <DocSecurity>0</DocSecurity>
  <Lines>50</Lines>
  <Paragraphs>14</Paragraphs>
  <ScaleCrop>false</ScaleCrop>
  <Company/>
  <LinksUpToDate>false</LinksUpToDate>
  <CharactersWithSpaces>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Argudo Santiago, Sergio</dc:creator>
  <cp:keywords/>
  <dc:description/>
  <cp:lastModifiedBy>Argudo Santiago, Sergio</cp:lastModifiedBy>
  <cp:revision>9</cp:revision>
  <dcterms:created xsi:type="dcterms:W3CDTF">2025-11-21T17:54:00Z</dcterms:created>
  <dcterms:modified xsi:type="dcterms:W3CDTF">2026-01-14T14:24:00Z</dcterms:modified>
</cp:coreProperties>
</file>