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Normalización</w:t>
      </w:r>
      <w:r>
        <w:rPr>
          <w:rFonts w:ascii="Cambria" w:hAnsi="Cambria"/>
        </w:rPr>
        <w:t xml:space="preserve">: actividad voluntaria basada en el consenso, desarrollada por y para las partes interesadas, para adoptar normas de cumplimiento voluntario.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</w:t>
      </w:r>
      <w:r>
        <w:rPr>
          <w:rFonts w:ascii="Cambria" w:hAnsi="Cambria"/>
        </w:rPr>
        <w:t xml:space="preserve"> (según el </w:t>
      </w:r>
      <w:r>
        <w:rPr>
          <w:rFonts w:ascii="Cambria" w:hAnsi="Cambria"/>
          <w:b/>
          <w:bCs/>
        </w:rPr>
        <w:t xml:space="preserve">Acuerdo TBT</w:t>
      </w:r>
      <w:r>
        <w:rPr>
          <w:rFonts w:ascii="Cambria" w:hAnsi="Cambria"/>
        </w:rPr>
        <w:t xml:space="preserve"> de la OMC): documento aprobado por una institución reconocida que fija reglas, directrices o características para productos o procesos, de observancia no obligatoria.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normalización internacional facilita el comercio al crear un lenguaje común entre fabricantes, administraciones y consumidores.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Jerarquía de organismos según su grado de internacionalidad: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Las Tres Hermanas</w:t>
      </w:r>
      <w:r>
        <w:rPr>
          <w:rFonts w:ascii="Cambria" w:hAnsi="Cambria"/>
        </w:rPr>
        <w:t xml:space="preserve"> (máximo nivel, reconocidas por el </w:t>
      </w:r>
      <w:r>
        <w:rPr>
          <w:rFonts w:ascii="Cambria" w:hAnsi="Cambria"/>
          <w:b/>
          <w:bCs/>
        </w:rPr>
        <w:t xml:space="preserve">Acuerdo SPS</w:t>
      </w:r>
      <w:r>
        <w:rPr>
          <w:rFonts w:ascii="Cambria" w:hAnsi="Cambria"/>
        </w:rPr>
        <w:t xml:space="preserve"> de la OMC): </w:t>
      </w: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OMSA</w:t>
      </w:r>
      <w:r>
        <w:rPr>
          <w:rFonts w:ascii="Cambria" w:hAnsi="Cambria"/>
        </w:rPr>
        <w:t xml:space="preserve"> (antigua OIE) y </w:t>
      </w:r>
      <w:r>
        <w:rPr>
          <w:rFonts w:ascii="Cambria" w:hAnsi="Cambria"/>
          <w:b/>
          <w:bCs/>
        </w:rPr>
        <w:t xml:space="preserve">CIPF</w:t>
      </w:r>
      <w:r>
        <w:rPr>
          <w:rFonts w:ascii="Cambria" w:hAnsi="Cambria"/>
        </w:rPr>
        <w:t xml:space="preserve"> de la FAO.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ISO</w:t>
      </w:r>
      <w:r>
        <w:rPr>
          <w:rFonts w:ascii="Cambria" w:hAnsi="Cambria"/>
        </w:rPr>
        <w:t xml:space="preserve">, organismo de referencia dentro del Acuerdo TBT.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Organismos regionales relevantes: </w:t>
      </w:r>
      <w:r>
        <w:rPr>
          <w:rFonts w:ascii="Cambria" w:hAnsi="Cambria"/>
          <w:b/>
          <w:bCs/>
        </w:rPr>
        <w:t xml:space="preserve">CEPE/NU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UE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Organismos de ámbito regional más limitado: </w:t>
      </w:r>
      <w:r>
        <w:rPr>
          <w:rFonts w:ascii="Cambria" w:hAnsi="Cambria"/>
          <w:b/>
          <w:bCs/>
        </w:rPr>
        <w:t xml:space="preserve">COPANT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ARSO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ACCSQ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CEN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CENELEC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ETSI</w:t>
      </w:r>
      <w:r>
        <w:rPr>
          <w:rFonts w:ascii="Cambria" w:hAnsi="Cambria"/>
        </w:rPr>
        <w:t xml:space="preserve"> y, en España,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TBT</w:t>
      </w:r>
      <w:r>
        <w:rPr>
          <w:rFonts w:ascii="Cambria" w:hAnsi="Cambria"/>
        </w:rPr>
        <w:t xml:space="preserve"> insta a los Miembros de la OMC a utilizar normas internacionales cuando existan.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tema se centra en la </w:t>
      </w:r>
      <w:r>
        <w:rPr>
          <w:rFonts w:ascii="Cambria" w:hAnsi="Cambria"/>
          <w:b/>
          <w:bCs/>
        </w:rPr>
        <w:t xml:space="preserve">CEPE/NU</w:t>
      </w:r>
      <w:r>
        <w:rPr>
          <w:rFonts w:ascii="Cambria" w:hAnsi="Cambria"/>
        </w:rPr>
        <w:t xml:space="preserve">, su Comité Directivo sobre la Capacidad y las Normas del Comercio, el Protocolo de Ginebra, las Normas-Cuadro, el Grupo de Trabajo sobre Normas de Calidad Agrícola y 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LA COMISIÓN ECONÓMICA PARA EUROPA DE NACIONES UNIDAS (CEPE/NU)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Creada en </w:t>
      </w:r>
      <w:r>
        <w:rPr>
          <w:rFonts w:ascii="Cambria" w:hAnsi="Cambria"/>
          <w:b/>
          <w:bCs/>
        </w:rPr>
        <w:t xml:space="preserve">1947</w:t>
      </w:r>
      <w:r>
        <w:rPr>
          <w:rFonts w:ascii="Cambria" w:hAnsi="Cambria"/>
        </w:rPr>
        <w:t xml:space="preserve"> por decisión del </w:t>
      </w:r>
      <w:r>
        <w:rPr>
          <w:rFonts w:ascii="Cambria" w:hAnsi="Cambria"/>
          <w:b/>
          <w:bCs/>
        </w:rPr>
        <w:t xml:space="preserve">ECOSOC</w:t>
      </w:r>
      <w:r>
        <w:rPr>
          <w:rFonts w:ascii="Cambria" w:hAnsi="Cambria"/>
        </w:rPr>
        <w:t xml:space="preserve">, es una de las 5 Comisiones Regionales de la ONU. Sede en </w:t>
      </w:r>
      <w:r>
        <w:rPr>
          <w:rFonts w:ascii="Cambria" w:hAnsi="Cambria"/>
          <w:b/>
          <w:bCs/>
        </w:rPr>
        <w:t xml:space="preserve">Ginebra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Reúne a </w:t>
      </w:r>
      <w:r>
        <w:rPr>
          <w:rFonts w:ascii="Cambria" w:hAnsi="Cambria"/>
          <w:b/>
          <w:bCs/>
        </w:rPr>
        <w:t xml:space="preserve">56 países Miembros</w:t>
      </w:r>
      <w:r>
        <w:rPr>
          <w:rFonts w:ascii="Cambria" w:hAnsi="Cambria"/>
        </w:rPr>
        <w:t xml:space="preserve">: europeos, Estados Unidos, Canadá, Israel, Turquía y repúblicas de Asia Central.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 original: reconstrucción de la Europa de posguerra y fortalecimiento de las relaciones económicas y comerciales.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Éxitos históricos: normas de transporte de mercancías peligrosas, armonización de señales de tráfico y normas del sector de la automoción.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Áreas de actividad: medio ambiente, transporte, facilitación del comercio, estadísticas, análisis económicos, asentamientos humanos, energía sostenible, industria y agricultura.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prioridades de trabajo se basan en: análisis político, desarrollo de convenciones y protocolos, elaboración de reglamentaciones y normas, y asistencia técnica.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Participa en los </w:t>
      </w:r>
      <w:r>
        <w:rPr>
          <w:rFonts w:ascii="Cambria" w:hAnsi="Cambria"/>
          <w:b/>
          <w:bCs/>
        </w:rPr>
        <w:t xml:space="preserve">17 Objetivos de Desarrollo Sostenible 2030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Estructura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Órganos subsidiarios principales asistidos por una Secretaría, bajo un Comité Ejecutivo. Actualmente </w:t>
      </w:r>
      <w:r>
        <w:rPr>
          <w:rFonts w:ascii="Cambria" w:hAnsi="Cambria"/>
          <w:b/>
          <w:bCs/>
        </w:rPr>
        <w:t xml:space="preserve">8 Comités</w:t>
      </w:r>
      <w:r>
        <w:rPr>
          <w:rFonts w:ascii="Cambria" w:hAnsi="Cambria"/>
        </w:rPr>
        <w:t xml:space="preserve">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Comité sobre Política Medioambiental.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Comité sobre Transporte Interior.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 Directivo sobre Capacidad de Comercio y Normas (CT)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Comité de Bosques e Industria Forestal.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Comité sobre Energía Sostenible.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Conferencia de Estadísticos Europeos.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Comité sobre Desarrollo Urbano, Vivienda y Gestión de la Tierra.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Comité de Innovación, Competitividad y Asociaciones Público-Privadas.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Sesión bienal formal para revisar la situación económica regional y fijar el programa de trabajo, con decisiones remitidas al </w:t>
      </w:r>
      <w:r>
        <w:rPr>
          <w:rFonts w:ascii="Cambria" w:hAnsi="Cambria"/>
          <w:b/>
          <w:bCs/>
        </w:rPr>
        <w:t xml:space="preserve">ECOSOC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Comité Directivo sobre la Capacidad y las Normas de Comercio (CT)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Trabaja para estrechar relaciones económicas, integrar economías y crear un marco normativo que facilite el comercio y la cooperación económica.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Políticas concretas: mejorar el comercio mediante normas y buenas prácticas, mejorar el ambiente de inversión, mejorar la solución de diferencias y promover sectores innovadores.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Órganos subsidiarios del CT: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CEFACT</w:t>
      </w:r>
      <w:r>
        <w:rPr>
          <w:rFonts w:ascii="Cambria" w:hAnsi="Cambria"/>
        </w:rPr>
        <w:t xml:space="preserve">: simplifica procedimientos del comercio internacional y armoniza información y documentos. Creó </w:t>
      </w:r>
      <w:r>
        <w:rPr>
          <w:rFonts w:ascii="Cambria" w:hAnsi="Cambria"/>
          <w:b/>
          <w:bCs/>
        </w:rPr>
        <w:t xml:space="preserve">UN/EDIFACT</w:t>
      </w:r>
      <w:r>
        <w:rPr>
          <w:rFonts w:ascii="Cambria" w:hAnsi="Cambria"/>
        </w:rPr>
        <w:t xml:space="preserve">, norma para el intercambio electrónico de datos.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WP.6</w:t>
      </w:r>
      <w:r>
        <w:rPr>
          <w:rFonts w:ascii="Cambria" w:hAnsi="Cambria"/>
        </w:rPr>
        <w:t xml:space="preserve">: elimina obstáculos técnicos al comercio mediante normas internacionales y cooperación en armonización técnica, en colaboración con el CODEX y la ISO. Cuenta con los grupos de apoyo </w:t>
      </w:r>
      <w:r>
        <w:rPr>
          <w:rFonts w:ascii="Cambria" w:hAnsi="Cambria"/>
          <w:b/>
          <w:bCs/>
        </w:rPr>
        <w:t xml:space="preserve">MARS</w:t>
      </w:r>
      <w:r>
        <w:rPr>
          <w:rFonts w:ascii="Cambria" w:hAnsi="Cambria"/>
        </w:rPr>
        <w:t xml:space="preserve"> (vigilancia del mercado) y </w:t>
      </w:r>
      <w:r>
        <w:rPr>
          <w:rFonts w:ascii="Cambria" w:hAnsi="Cambria"/>
          <w:b/>
          <w:bCs/>
        </w:rPr>
        <w:t xml:space="preserve">START</w:t>
      </w:r>
      <w:r>
        <w:rPr>
          <w:rFonts w:ascii="Cambria" w:hAnsi="Cambria"/>
        </w:rPr>
        <w:t xml:space="preserve"> (normalización).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WP.7 (Grupo de Trabajo sobre Normas de Calidad Agrícola)</w:t>
      </w:r>
      <w:r>
        <w:rPr>
          <w:rFonts w:ascii="Cambria" w:hAnsi="Cambria"/>
        </w:rPr>
        <w:t xml:space="preserve">: elabora normas de calidad para productos agroalimentarios, con especial relevancia en Europa, en coordinación con la OCDE y el CODEX. Coordina folletos interpretativos de productos.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PROTOCOLO DE GINEBRA Y NORMAS-CUADRO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CEPE/NU elaboradas por el </w:t>
      </w:r>
      <w:r>
        <w:rPr>
          <w:rFonts w:ascii="Cambria" w:hAnsi="Cambria"/>
          <w:b/>
          <w:bCs/>
        </w:rPr>
        <w:t xml:space="preserve">WP.7</w:t>
      </w:r>
      <w:r>
        <w:rPr>
          <w:rFonts w:ascii="Cambria" w:hAnsi="Cambria"/>
        </w:rPr>
        <w:t xml:space="preserve"> son la base de gran parte de las normas de comercialización de la 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 de la UE.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Más de </w:t>
      </w:r>
      <w:r>
        <w:rPr>
          <w:rFonts w:ascii="Cambria" w:hAnsi="Cambria"/>
          <w:b/>
          <w:bCs/>
        </w:rPr>
        <w:t xml:space="preserve">120 normas</w:t>
      </w:r>
      <w:r>
        <w:rPr>
          <w:rFonts w:ascii="Cambria" w:hAnsi="Cambria"/>
        </w:rPr>
        <w:t xml:space="preserve"> adoptadas por el WP.7, entre ellas las revisiones de su </w:t>
      </w:r>
      <w:r>
        <w:rPr>
          <w:rFonts w:ascii="Cambria" w:hAnsi="Cambria"/>
          <w:b/>
          <w:bCs/>
        </w:rPr>
        <w:t xml:space="preserve">80ª sesión</w:t>
      </w:r>
      <w:r>
        <w:rPr>
          <w:rFonts w:ascii="Cambria" w:hAnsi="Cambria"/>
        </w:rPr>
        <w:t xml:space="preserve"> (noviembre de 2025): patata de siembra, uva de mesa, guisantes, peras, cítricos, nueces con cáscara y ciruelas pasas.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</w:t>
      </w:r>
      <w:r>
        <w:rPr>
          <w:rFonts w:ascii="Cambria" w:hAnsi="Cambria"/>
          <w:b/>
          <w:bCs/>
        </w:rPr>
        <w:t xml:space="preserve">2014</w:t>
      </w:r>
      <w:r>
        <w:rPr>
          <w:rFonts w:ascii="Cambria" w:hAnsi="Cambria"/>
        </w:rPr>
        <w:t xml:space="preserve"> el WP.7 adoptó el </w:t>
      </w:r>
      <w:r>
        <w:rPr>
          <w:rFonts w:ascii="Cambria" w:hAnsi="Cambria"/>
          <w:b/>
          <w:bCs/>
        </w:rPr>
        <w:t xml:space="preserve">Geneva Understanding</w:t>
      </w:r>
      <w:r>
        <w:rPr>
          <w:rFonts w:ascii="Cambria" w:hAnsi="Cambria"/>
        </w:rPr>
        <w:t xml:space="preserve">, que sustituye al </w:t>
      </w:r>
      <w:r>
        <w:rPr>
          <w:rFonts w:ascii="Cambria" w:hAnsi="Cambria"/>
          <w:b/>
          <w:bCs/>
        </w:rPr>
        <w:t xml:space="preserve">Protocolo de Ginebra</w:t>
      </w:r>
      <w:r>
        <w:rPr>
          <w:rFonts w:ascii="Cambria" w:hAnsi="Cambria"/>
        </w:rPr>
        <w:t xml:space="preserve"> (redactado entre 1954 y 1958, revisado en 1985) desde octubre de </w:t>
      </w:r>
      <w:r>
        <w:rPr>
          <w:rFonts w:ascii="Cambria" w:hAnsi="Cambria"/>
          <w:b/>
          <w:bCs/>
        </w:rPr>
        <w:t xml:space="preserve">2015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Geneva Understanding establece: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de CEPE/NU se desarrollan conforme a los objetivos del </w:t>
      </w:r>
      <w:r>
        <w:rPr>
          <w:rFonts w:ascii="Cambria" w:hAnsi="Cambria"/>
          <w:b/>
          <w:bCs/>
        </w:rPr>
        <w:t xml:space="preserve">Acuerdo TBT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Requiere marco legal nacional e infraestructura técnica adecuada, con servicios de inspección que sigan procedimientos internacionales.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fijan un lenguaje común y niveles mínimos de calidad, evitando obstáculos técnicos y protegiendo a los consumidores.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procesos de desarrollo y revisión son abiertos, transparentes y basados en consenso, con participación de Miembros de la ONU y ONG acreditadas por el ECOSOC.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países aceptantes apoyan el desarrollo de normas, las tienen en cuenta en su legislación nacional e informan a la Secretaría sobre su estado de implementación.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CEPE/NU busca coordinarse con otras organizaciones, en especial con el </w:t>
      </w: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, para evitar duplicidades.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Contenido de una norma de calidad (Norma-Cuadro)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WP.7 desarrolló la </w:t>
      </w:r>
      <w:r>
        <w:rPr>
          <w:rFonts w:ascii="Cambria" w:hAnsi="Cambria"/>
          <w:b/>
          <w:bCs/>
        </w:rPr>
        <w:t xml:space="preserve">Norma-Cuadro</w:t>
      </w:r>
      <w:r>
        <w:rPr>
          <w:rFonts w:ascii="Cambria" w:hAnsi="Cambria"/>
        </w:rPr>
        <w:t xml:space="preserve">, esquema y texto modelo común, con versiones para </w:t>
      </w:r>
      <w:r>
        <w:rPr>
          <w:rFonts w:ascii="Cambria" w:hAnsi="Cambria"/>
          <w:b/>
          <w:bCs/>
        </w:rPr>
        <w:t xml:space="preserve">Frutas y Hortalizas Frescas</w:t>
      </w:r>
      <w:r>
        <w:rPr>
          <w:rFonts w:ascii="Cambria" w:hAnsi="Cambria"/>
        </w:rPr>
        <w:t xml:space="preserve"> y para </w:t>
      </w:r>
      <w:r>
        <w:rPr>
          <w:rFonts w:ascii="Cambria" w:hAnsi="Cambria"/>
          <w:b/>
          <w:bCs/>
        </w:rPr>
        <w:t xml:space="preserve">Productos Secos y Desecados</w:t>
      </w:r>
      <w:r>
        <w:rPr>
          <w:rFonts w:ascii="Cambria" w:hAnsi="Cambria"/>
        </w:rPr>
        <w:t xml:space="preserve">, con el siguiente contenido: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Definición del producto</w:t>
      </w:r>
      <w:r>
        <w:rPr>
          <w:rFonts w:ascii="Cambria" w:hAnsi="Cambria"/>
        </w:rPr>
        <w:t xml:space="preserve">: género, especie botánica y forma de comercialización.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Disposiciones sobre calidad</w:t>
      </w:r>
      <w:r>
        <w:rPr>
          <w:rFonts w:ascii="Cambria" w:hAnsi="Cambria"/>
        </w:rPr>
        <w:t xml:space="preserve">: requisitos mínimos y categorías Extra, I y II.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Disposiciones sobre calibrado</w:t>
      </w:r>
      <w:r>
        <w:rPr>
          <w:rFonts w:ascii="Cambria" w:hAnsi="Cambria"/>
        </w:rPr>
        <w:t xml:space="preserve">: diámetro, peso, longitud, piezas por envase.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Disposiciones sobre tolerancias</w:t>
      </w:r>
      <w:r>
        <w:rPr>
          <w:rFonts w:ascii="Cambria" w:hAnsi="Cambria"/>
        </w:rPr>
        <w:t xml:space="preserve">: de calidad y de calibre.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Disposiciones sobre marcado</w:t>
      </w:r>
      <w:r>
        <w:rPr>
          <w:rFonts w:ascii="Cambria" w:hAnsi="Cambria"/>
        </w:rPr>
        <w:t xml:space="preserve">: identificación, origen y marca oficial de control.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Disposiciones sobre presentación</w:t>
      </w:r>
      <w:r>
        <w:rPr>
          <w:rFonts w:ascii="Cambria" w:hAnsi="Cambria"/>
        </w:rPr>
        <w:t xml:space="preserve">: homogeneidad y acondicionamiento.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Incluye </w:t>
      </w:r>
      <w:r>
        <w:rPr>
          <w:rFonts w:ascii="Cambria" w:hAnsi="Cambria"/>
          <w:b/>
          <w:bCs/>
        </w:rPr>
        <w:t xml:space="preserve">2 Anexos</w:t>
      </w:r>
      <w:r>
        <w:rPr>
          <w:rFonts w:ascii="Cambria" w:hAnsi="Cambria"/>
        </w:rPr>
        <w:t xml:space="preserve">: Anexo I (acondicionamiento, controles oficiales y certificado de control) y Anexo II (aclaraciones sobre presentación y envasado).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Procedimiento de elaboración de una norma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Proceso de la Sección Especializada</w:t>
      </w:r>
      <w:r>
        <w:rPr>
          <w:rFonts w:ascii="Cambria" w:hAnsi="Cambria"/>
        </w:rPr>
        <w:t xml:space="preserve">: a solicitud de cualquier parte interesada, un grupo informal de ponentes elabora el proyecto, que la sección especializada revisa y enmienda.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Proceso del WP.7</w:t>
      </w:r>
      <w:r>
        <w:rPr>
          <w:rFonts w:ascii="Cambria" w:hAnsi="Cambria"/>
        </w:rPr>
        <w:t xml:space="preserve">: el proyecto enmendado puede adoptarse como norma CEPE/NU, como recomendación a prueba (uno o dos años) o desestimarse.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decisiones se toman por consenso, aunque cabe adoptar una norma con reserva expresa de algún Miembro.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GRUPO DE TRABAJO DE NORMAS DE CALIDAD AGRÍCOLA (WP.7)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Órgano subsidiario del </w:t>
      </w:r>
      <w:r>
        <w:rPr>
          <w:rFonts w:ascii="Cambria" w:hAnsi="Cambria"/>
          <w:b/>
          <w:bCs/>
        </w:rPr>
        <w:t xml:space="preserve">CT</w:t>
      </w:r>
      <w:r>
        <w:rPr>
          <w:rFonts w:ascii="Cambria" w:hAnsi="Cambria"/>
        </w:rPr>
        <w:t xml:space="preserve">, ha suscrito el Código de Buena Conducta del Acuerdo TBT.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 (Subdirección General de Inspección, Certificación y Asistencia Técnica del Comercio Exterior, del MECE) participan como delegación española.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WP.7 se organiza en </w:t>
      </w:r>
      <w:r>
        <w:rPr>
          <w:rFonts w:ascii="Cambria" w:hAnsi="Cambria"/>
          <w:b/>
          <w:bCs/>
        </w:rPr>
        <w:t xml:space="preserve">4 Secciones Especializadas</w:t>
      </w:r>
      <w:r>
        <w:rPr>
          <w:rFonts w:ascii="Cambria" w:hAnsi="Cambria"/>
        </w:rPr>
        <w:t xml:space="preserve"> (antes Grupos de Expertos, GE):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GE1</w:t>
      </w:r>
      <w:r>
        <w:rPr>
          <w:rFonts w:ascii="Cambria" w:hAnsi="Cambria"/>
        </w:rPr>
        <w:t xml:space="preserve">: Normalización de Frutas y Hortalizas Frescas.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GE2</w:t>
      </w:r>
      <w:r>
        <w:rPr>
          <w:rFonts w:ascii="Cambria" w:hAnsi="Cambria"/>
        </w:rPr>
        <w:t xml:space="preserve">: Normalización de Productos Secos y Desecados.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GE6</w:t>
      </w:r>
      <w:r>
        <w:rPr>
          <w:rFonts w:ascii="Cambria" w:hAnsi="Cambria"/>
        </w:rPr>
        <w:t xml:space="preserve">: Normalización de Patata de Siembra.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GE11</w:t>
      </w:r>
      <w:r>
        <w:rPr>
          <w:rFonts w:ascii="Cambria" w:hAnsi="Cambria"/>
        </w:rPr>
        <w:t xml:space="preserve">: Normalización de Carnes.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GE1</w:t>
      </w:r>
      <w:r>
        <w:rPr>
          <w:rFonts w:ascii="Cambria" w:hAnsi="Cambria"/>
        </w:rPr>
        <w:t xml:space="preserve">: sus normas se han adoptado por la UE como normas de comercialización mediante reglamentos, muchas con folleto interpretativo de la OCDE.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GE6</w:t>
      </w:r>
      <w:r>
        <w:rPr>
          <w:rFonts w:ascii="Cambria" w:hAnsi="Cambria"/>
        </w:rPr>
        <w:t xml:space="preserve">: desarrolló en 1985 un cuestionario sobre sistemas nacionales de certificación y creó una norma con tres categorías de patata de siembra: Pre-basic, Basic y Certificado.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GE2</w:t>
      </w:r>
      <w:r>
        <w:rPr>
          <w:rFonts w:ascii="Cambria" w:hAnsi="Cambria"/>
        </w:rPr>
        <w:t xml:space="preserve">: es la sección con mayor número de normas tras la de frutas y hortalizas frescas, con Norma-Cuadro propia.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LA OCDE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Origen: </w:t>
      </w:r>
      <w:r>
        <w:rPr>
          <w:rFonts w:ascii="Cambria" w:hAnsi="Cambria"/>
          <w:b/>
          <w:bCs/>
        </w:rPr>
        <w:t xml:space="preserve">Convención de Cooperación Económica Europea</w:t>
      </w:r>
      <w:r>
        <w:rPr>
          <w:rFonts w:ascii="Cambria" w:hAnsi="Cambria"/>
        </w:rPr>
        <w:t xml:space="preserve"> (1948), que creó la </w:t>
      </w:r>
      <w:r>
        <w:rPr>
          <w:rFonts w:ascii="Cambria" w:hAnsi="Cambria"/>
          <w:b/>
          <w:bCs/>
        </w:rPr>
        <w:t xml:space="preserve">OECE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Tratado Constitutivo de la OCDE</w:t>
      </w:r>
      <w:r>
        <w:rPr>
          <w:rFonts w:ascii="Cambria" w:hAnsi="Cambria"/>
        </w:rPr>
        <w:t xml:space="preserve"> se firmó en diciembre de 1960, con efectos desde el </w:t>
      </w:r>
      <w:r>
        <w:rPr>
          <w:rFonts w:ascii="Cambria" w:hAnsi="Cambria"/>
          <w:b/>
          <w:bCs/>
        </w:rPr>
        <w:t xml:space="preserve">30 de septiembre de 1961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38 países Miembros</w:t>
      </w:r>
      <w:r>
        <w:rPr>
          <w:rFonts w:ascii="Cambria" w:hAnsi="Cambria"/>
        </w:rPr>
        <w:t xml:space="preserve">, entre ellos España (desde el 3 de agosto de 1961). Últimas incorporaciones: Letonia (2016), Lituania (2018), Colombia (2020) y Costa Rica (2021). En negociación de adhesión: Argentina, Brasil, Bulgaria, Croacia, Perú, Rumanía, Indonesia y Tailandia.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Objetivo: defender los sistemas democráticos y de economía de mercado, promoviendo crecimiento sostenible, empleo y estabilidad financiera.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Estructura y funcionamiento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Sede en </w:t>
      </w:r>
      <w:r>
        <w:rPr>
          <w:rFonts w:ascii="Cambria" w:hAnsi="Cambria"/>
          <w:b/>
          <w:bCs/>
        </w:rPr>
        <w:t xml:space="preserve">París</w:t>
      </w:r>
      <w:r>
        <w:rPr>
          <w:rFonts w:ascii="Cambria" w:hAnsi="Cambria"/>
        </w:rPr>
        <w:t xml:space="preserve">, financiada por cuotas de los Miembros.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Consejo</w:t>
      </w:r>
      <w:r>
        <w:rPr>
          <w:rFonts w:ascii="Cambria" w:hAnsi="Cambria"/>
        </w:rPr>
        <w:t xml:space="preserve">: órgano decisorio, un representante por Estado Miembro más la Comisión de la UE, presidido por el Secretario General, con reunión ministerial anual y decisiones por unanimidad. Secretario General: </w:t>
      </w:r>
      <w:r>
        <w:rPr>
          <w:rFonts w:ascii="Cambria" w:hAnsi="Cambria"/>
          <w:b/>
          <w:bCs/>
        </w:rPr>
        <w:t xml:space="preserve">Mathias Cormann</w:t>
      </w:r>
      <w:r>
        <w:rPr>
          <w:rFonts w:ascii="Cambria" w:hAnsi="Cambria"/>
        </w:rPr>
        <w:t xml:space="preserve"> (desde el 1 de junio de 2021, mandato renovado desde el 1 de junio de 2026).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Secretaría</w:t>
      </w:r>
      <w:r>
        <w:rPr>
          <w:rFonts w:ascii="Cambria" w:hAnsi="Cambria"/>
        </w:rPr>
        <w:t xml:space="preserve">: encabezada por el Secretario General, con Secretarios Adjuntos y </w:t>
      </w:r>
      <w:r>
        <w:rPr>
          <w:rFonts w:ascii="Cambria" w:hAnsi="Cambria"/>
          <w:b/>
          <w:bCs/>
        </w:rPr>
        <w:t xml:space="preserve">14 Direcciones Generales</w:t>
      </w:r>
      <w:r>
        <w:rPr>
          <w:rFonts w:ascii="Cambria" w:hAnsi="Cambria"/>
        </w:rPr>
        <w:t xml:space="preserve">, y más de </w:t>
      </w:r>
      <w:r>
        <w:rPr>
          <w:rFonts w:ascii="Cambria" w:hAnsi="Cambria"/>
          <w:b/>
          <w:bCs/>
        </w:rPr>
        <w:t xml:space="preserve">3.300 empleados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Comités</w:t>
      </w:r>
      <w:r>
        <w:rPr>
          <w:rFonts w:ascii="Cambria" w:hAnsi="Cambria"/>
        </w:rPr>
        <w:t xml:space="preserve">: aproximadamente </w:t>
      </w:r>
      <w:r>
        <w:rPr>
          <w:rFonts w:ascii="Cambria" w:hAnsi="Cambria"/>
          <w:b/>
          <w:bCs/>
        </w:rPr>
        <w:t xml:space="preserve">300 Comités, Grupos de Trabajo y Subgrupos Técnicos</w:t>
      </w:r>
      <w:r>
        <w:rPr>
          <w:rFonts w:ascii="Cambria" w:hAnsi="Cambria"/>
        </w:rPr>
        <w:t xml:space="preserve">, entre ellos los de Agricultura, Comercio, Política Económica, Medio Ambiente, Asistencia al Desarrollo, Asuntos Fiscales y Política de Consumo.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Trabajos destacados: Programa sobre Reforma Regulatoria, evaluaciones de sistemas de enseñanza (Informe PISA), trabajos en comercio, Departamento de Asuntos Económicos (Perspectivas Económicas) y Dirección de Estadísticas.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Dirección de Comercio y Agricultura (TAD)</w:t>
      </w:r>
      <w:r>
        <w:rPr>
          <w:rFonts w:ascii="Cambria" w:hAnsi="Cambria"/>
        </w:rPr>
        <w:t xml:space="preserve">: incluye la </w:t>
      </w:r>
      <w:r>
        <w:rPr>
          <w:rFonts w:ascii="Cambria" w:hAnsi="Cambria"/>
          <w:b/>
          <w:bCs/>
        </w:rPr>
        <w:t xml:space="preserve">Unidad de Esquemas y Códigos de Agricultura</w:t>
      </w:r>
      <w:r>
        <w:rPr>
          <w:rFonts w:ascii="Cambria" w:hAnsi="Cambria"/>
        </w:rPr>
        <w:t xml:space="preserve">, con 4 líneas: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Esquema para Material Reproductivo de Bosques</w:t>
      </w:r>
      <w:r>
        <w:rPr>
          <w:rFonts w:ascii="Cambria" w:hAnsi="Cambria"/>
        </w:rPr>
        <w:t xml:space="preserve">: 30 países participantes y unas 275 especies de árboles.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Esquema para Semillas</w:t>
      </w:r>
      <w:r>
        <w:rPr>
          <w:rFonts w:ascii="Cambria" w:hAnsi="Cambria"/>
        </w:rPr>
        <w:t xml:space="preserve">: 8 sistemas de certificación, con más de 60 países participantes y más de 200 especies.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Códigos de Normas para el Control Oficial de Tractores Agrícolas y Forestales</w:t>
      </w:r>
      <w:r>
        <w:rPr>
          <w:rFonts w:ascii="Cambria" w:hAnsi="Cambria"/>
        </w:rPr>
        <w:t xml:space="preserve">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Esquema para Frutas y Hortalizas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Publicación conjunta con la FAO: </w:t>
      </w:r>
      <w:r>
        <w:rPr>
          <w:rFonts w:ascii="Cambria" w:hAnsi="Cambria"/>
          <w:b/>
          <w:bCs/>
        </w:rPr>
        <w:t xml:space="preserve">Perspectivas Agrícolas OCDE/FAO</w:t>
      </w:r>
      <w:r>
        <w:rPr>
          <w:rFonts w:ascii="Cambria" w:hAnsi="Cambria"/>
        </w:rPr>
        <w:t xml:space="preserve">, edición 2026-2035 (21ª edición, julio de 2025).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Esquema de la OCDE para Frutas y Hortalizas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Creado en </w:t>
      </w:r>
      <w:r>
        <w:rPr>
          <w:rFonts w:ascii="Cambria" w:hAnsi="Cambria"/>
          <w:b/>
          <w:bCs/>
        </w:rPr>
        <w:t xml:space="preserve">1962</w:t>
      </w:r>
      <w:r>
        <w:rPr>
          <w:rFonts w:ascii="Cambria" w:hAnsi="Cambria"/>
        </w:rPr>
        <w:t xml:space="preserve"> como Esquema para la Aplicación de las Normas Internacionales para Frutas y Hortalizas, abierto a Miembros de la ONU, sus organismos especializados o la OMC. </w:t>
      </w:r>
      <w:r>
        <w:rPr>
          <w:rFonts w:ascii="Cambria" w:hAnsi="Cambria"/>
          <w:b/>
          <w:bCs/>
        </w:rPr>
        <w:t xml:space="preserve">28 países</w:t>
      </w:r>
      <w:r>
        <w:rPr>
          <w:rFonts w:ascii="Cambria" w:hAnsi="Cambria"/>
        </w:rPr>
        <w:t xml:space="preserve"> participantes en la actualidad.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Reunión Plenaria</w:t>
      </w:r>
      <w:r>
        <w:rPr>
          <w:rFonts w:ascii="Cambria" w:hAnsi="Cambria"/>
        </w:rPr>
        <w:t xml:space="preserve"> anual en diciembre, en París, con asistencia de CEPE/NU, CODEX, Comisión Europea y agrupaciones como </w:t>
      </w:r>
      <w:r>
        <w:rPr>
          <w:rFonts w:ascii="Cambria" w:hAnsi="Cambria"/>
          <w:b/>
          <w:bCs/>
        </w:rPr>
        <w:t xml:space="preserve">CLAM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COLEACP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EUCOFEL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Consejo de la OCDE</w:t>
      </w:r>
      <w:r>
        <w:rPr>
          <w:rFonts w:ascii="Cambria" w:hAnsi="Cambria"/>
        </w:rPr>
        <w:t xml:space="preserve">, asistido por el Secretario General, es el órgano superior de decisión, previo acuerdo del Comité de Agricultura.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Actividades principales: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Adaptar las normas de calidad CEPE/NU a las condiciones actuales de producción y comercio.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Folletos interpretativos</w:t>
      </w:r>
      <w:r>
        <w:rPr>
          <w:rFonts w:ascii="Cambria" w:hAnsi="Cambria"/>
        </w:rPr>
        <w:t xml:space="preserve"> de las normas, con fotografías, incluyendo desde su última revisión normas del Programa Conjunto FAO/OMS (CODEX).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Cartas de color</w:t>
      </w:r>
      <w:r>
        <w:rPr>
          <w:rFonts w:ascii="Cambria" w:hAnsi="Cambria"/>
        </w:rPr>
        <w:t xml:space="preserve"> para productos donde el color indica madurez.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Cursos y talleres internacionales para inspectores.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Reuniones bienales de Jefes de los Servicios de Inspección Nacionales.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Certificado de Control</w:t>
      </w:r>
      <w:r>
        <w:rPr>
          <w:rFonts w:ascii="Cambria" w:hAnsi="Cambria"/>
        </w:rPr>
        <w:t xml:space="preserve"> del Régimen OCDE (creado en 1963, modificado en 1979).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Revisiones por pares (Peer Review)</w:t>
      </w:r>
      <w:r>
        <w:rPr>
          <w:rFonts w:ascii="Cambria" w:hAnsi="Cambria"/>
        </w:rPr>
        <w:t xml:space="preserve"> entre servicios de inspección nacionales.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Estudio de las condiciones de mantenimiento de la calidad durante transporte y distribución.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Promoción de normas de envasado y etiquetado, destacando la </w:t>
      </w:r>
      <w:r>
        <w:rPr>
          <w:rFonts w:ascii="Cambria" w:hAnsi="Cambria"/>
          <w:b/>
          <w:bCs/>
        </w:rPr>
        <w:t xml:space="preserve">Recomendación de 1976</w:t>
      </w:r>
      <w:r>
        <w:rPr>
          <w:rFonts w:ascii="Cambria" w:hAnsi="Cambria"/>
        </w:rPr>
        <w:t xml:space="preserve"> del Consejo de la OCDE sobre normalización de embalajes para transporte internacional de frutas y hortalizas, que excluye el transporte marítimo de larga distancia y fija dimensiones de embalajes compatibles con paletas de 800x1200 y 1000x1200.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CEPE/NU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, junto al </w:t>
      </w: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, son los principales organismos de normalización con incidencia en el comercio agroalimentario europeo e internacional.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CEPE/NU, a través del </w:t>
      </w:r>
      <w:r>
        <w:rPr>
          <w:rFonts w:ascii="Cambria" w:hAnsi="Cambria"/>
          <w:b/>
          <w:bCs/>
        </w:rPr>
        <w:t xml:space="preserve">WP.7</w:t>
      </w:r>
      <w:r>
        <w:rPr>
          <w:rFonts w:ascii="Cambria" w:hAnsi="Cambria"/>
        </w:rPr>
        <w:t xml:space="preserve">, elabora normas de especial relevancia para la UE bajo el esquema del </w:t>
      </w:r>
      <w:r>
        <w:rPr>
          <w:rFonts w:ascii="Cambria" w:hAnsi="Cambria"/>
          <w:b/>
          <w:bCs/>
        </w:rPr>
        <w:t xml:space="preserve">Geneva Understanding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OCDE centra su actividad en la interpretación armonizada y la verificación de la aplicación de dichas normas, evitando desde </w:t>
      </w:r>
      <w:r>
        <w:rPr>
          <w:rFonts w:ascii="Cambria" w:hAnsi="Cambria"/>
          <w:b/>
          <w:bCs/>
        </w:rPr>
        <w:t xml:space="preserve">1992</w:t>
      </w:r>
      <w:r>
        <w:rPr>
          <w:rFonts w:ascii="Cambria" w:hAnsi="Cambria"/>
        </w:rPr>
        <w:t xml:space="preserve"> la duplicación de esfuerzos con la CEPE/NU.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Este esquema de organismos complementarios constituye el marco de referencia del </w:t>
      </w:r>
      <w:r>
        <w:rPr>
          <w:rFonts w:ascii="Cambria" w:hAnsi="Cambria"/>
          <w:b/>
          <w:bCs/>
        </w:rPr>
        <w:t xml:space="preserve">Servicio de Inspección SOIVRE</w:t>
      </w:r>
      <w:r>
        <w:rPr>
          <w:rFonts w:ascii="Cambria" w:hAnsi="Cambria"/>
        </w:rPr>
        <w:t xml:space="preserve"> en el control de calidad comercial de productos agroalimentarios.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42 – Normalización internacional en el ámbito de Naciones Unidas (II): la Comisión Económica para Europa de Naciones Unidas (CEPE/NU). Grupo de Trabajo sobre Normas de Calidad Agrícola. Procedimiento de trabajo. Protocolo de Ginebra y Normas-Cuadro. El Régimen OCDE para la aplicación de las Normas Internacionales para frutas y hortalizas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