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1"/>
        <w:jc w:val="both"/>
        <w:rPr>
          <w:rFonts w:ascii="Cambria" w:hAnsi="Cambria"/>
          <w:b/>
          <w:bCs/>
          <w:color w:val="auto"/>
          <w:sz w:val="28"/>
          <w:szCs w:val="28"/>
        </w:rPr>
      </w:pPr>
      <w:r>
        <w:rPr>
          <w:rFonts w:ascii="Cambria" w:hAnsi="Cambria"/>
          <w:b/>
          <w:bCs/>
          <w:color w:val="auto"/>
          <w:sz w:val="28"/>
          <w:szCs w:val="28"/>
        </w:rPr>
        <w:t xml:space="preserve">1. INTRODUCCIÓN</w:t>
      </w:r>
    </w:p>
    <w:p>
      <w:pPr>
        <w:numPr>
          <w:ilvl w:val="0"/>
          <w:numId w:val="1"/>
        </w:numPr>
        <w:jc w:val="both"/>
        <w:rPr>
          <w:rFonts w:ascii="Cambria" w:hAnsi="Cambria"/>
        </w:rPr>
      </w:pPr>
      <w:r>
        <w:rPr>
          <w:rFonts w:ascii="Cambria" w:hAnsi="Cambria"/>
          <w:b/>
          <w:bCs/>
        </w:rPr>
        <w:t xml:space="preserve">Normalización</w:t>
      </w:r>
      <w:r>
        <w:rPr>
          <w:rFonts w:ascii="Cambria" w:hAnsi="Cambria"/>
        </w:rPr>
        <w:t xml:space="preserve">: actividad voluntaria basada en el consenso, desarrollada por organismos independientes y reconocidos, para adoptar normas cuyo cumplimiento no es obligatorio.</w:t>
      </w:r>
    </w:p>
    <w:p>
      <w:pPr>
        <w:numPr>
          <w:ilvl w:val="0"/>
          <w:numId w:val="1"/>
        </w:numPr>
        <w:jc w:val="both"/>
        <w:rPr>
          <w:rFonts w:ascii="Cambria" w:hAnsi="Cambria"/>
        </w:rPr>
      </w:pPr>
      <w:r>
        <w:rPr>
          <w:rFonts w:ascii="Cambria" w:hAnsi="Cambria"/>
          <w:b/>
          <w:bCs/>
        </w:rPr>
        <w:t xml:space="preserve">Norma</w:t>
      </w:r>
      <w:r>
        <w:rPr>
          <w:rFonts w:ascii="Cambria" w:hAnsi="Cambria"/>
        </w:rPr>
        <w:t xml:space="preserve"> (Acuerdo TBT de la OMC): documento aprobado por una institución reconocida que prevé reglas, directrices o características para productos o procesos, de observancia no obligatoria.</w:t>
      </w:r>
    </w:p>
    <w:p>
      <w:pPr>
        <w:numPr>
          <w:ilvl w:val="0"/>
          <w:numId w:val="1"/>
        </w:numPr>
        <w:jc w:val="both"/>
        <w:rPr>
          <w:rFonts w:ascii="Cambria" w:hAnsi="Cambria"/>
        </w:rPr>
      </w:pPr>
      <w:r>
        <w:rPr>
          <w:rFonts w:ascii="Cambria" w:hAnsi="Cambria"/>
        </w:rPr>
        <w:t xml:space="preserve">La normalización internacional facilita el comercio al crear un lenguaje común entre fabricantes, administraciones y consumidores.</w:t>
      </w:r>
    </w:p>
    <w:p>
      <w:pPr>
        <w:numPr>
          <w:ilvl w:val="0"/>
          <w:numId w:val="1"/>
        </w:numPr>
        <w:jc w:val="both"/>
        <w:rPr>
          <w:rFonts w:ascii="Cambria" w:hAnsi="Cambria"/>
        </w:rPr>
      </w:pPr>
      <w:r>
        <w:rPr>
          <w:rFonts w:ascii="Cambria" w:hAnsi="Cambria"/>
        </w:rPr>
        <w:t xml:space="preserve">Jerarquía de organismos según su carácter internacional:</w:t>
      </w:r>
    </w:p>
    <w:p>
      <w:pPr>
        <w:numPr>
          <w:ilvl w:val="1"/>
          <w:numId w:val="1"/>
        </w:numPr>
        <w:jc w:val="both"/>
        <w:rPr>
          <w:rFonts w:ascii="Cambria" w:hAnsi="Cambria"/>
        </w:rPr>
      </w:pPr>
      <w:r>
        <w:rPr>
          <w:rFonts w:ascii="Cambria" w:hAnsi="Cambria"/>
          <w:b/>
          <w:bCs/>
        </w:rPr>
        <w:t xml:space="preserve">Las Tres Hermanas</w:t>
      </w:r>
      <w:r>
        <w:rPr>
          <w:rFonts w:ascii="Cambria" w:hAnsi="Cambria"/>
        </w:rPr>
        <w:t xml:space="preserve">: CODEX Alimentarius, </w:t>
      </w:r>
      <w:r>
        <w:rPr>
          <w:rFonts w:ascii="Cambria" w:hAnsi="Cambria"/>
          <w:b/>
          <w:bCs/>
        </w:rPr>
        <w:t xml:space="preserve">OMSA</w:t>
      </w:r>
      <w:r>
        <w:rPr>
          <w:rFonts w:ascii="Cambria" w:hAnsi="Cambria"/>
        </w:rPr>
        <w:t xml:space="preserve"> (antigua OIE) y </w:t>
      </w:r>
      <w:r>
        <w:rPr>
          <w:rFonts w:ascii="Cambria" w:hAnsi="Cambria"/>
          <w:b/>
          <w:bCs/>
        </w:rPr>
        <w:t xml:space="preserve">CIPF</w:t>
      </w:r>
      <w:r>
        <w:rPr>
          <w:rFonts w:ascii="Cambria" w:hAnsi="Cambria"/>
        </w:rPr>
        <w:t xml:space="preserve"> de la FAO, reconocidos por el </w:t>
      </w:r>
      <w:r>
        <w:rPr>
          <w:rFonts w:ascii="Cambria" w:hAnsi="Cambria"/>
          <w:b/>
          <w:bCs/>
        </w:rPr>
        <w:t xml:space="preserve">Acuerdo SPS</w:t>
      </w:r>
      <w:r>
        <w:rPr>
          <w:rFonts w:ascii="Cambria" w:hAnsi="Cambria"/>
        </w:rPr>
        <w:t xml:space="preserve"> de la OMC.</w:t>
      </w:r>
    </w:p>
    <w:p>
      <w:pPr>
        <w:numPr>
          <w:ilvl w:val="1"/>
          <w:numId w:val="1"/>
        </w:numPr>
        <w:jc w:val="both"/>
        <w:rPr>
          <w:rFonts w:ascii="Cambria" w:hAnsi="Cambria"/>
        </w:rPr>
      </w:pPr>
      <w:r>
        <w:rPr>
          <w:rFonts w:ascii="Cambria" w:hAnsi="Cambria"/>
          <w:b/>
          <w:bCs/>
        </w:rPr>
        <w:t xml:space="preserve">ISO</w:t>
      </w:r>
      <w:r>
        <w:rPr>
          <w:rFonts w:ascii="Cambria" w:hAnsi="Cambria"/>
        </w:rPr>
        <w:t xml:space="preserve">, organismo de referencia dentro del Acuerdo TBT.</w:t>
      </w:r>
    </w:p>
    <w:p>
      <w:pPr>
        <w:numPr>
          <w:ilvl w:val="1"/>
          <w:numId w:val="1"/>
        </w:numPr>
        <w:jc w:val="both"/>
        <w:rPr>
          <w:rFonts w:ascii="Cambria" w:hAnsi="Cambria"/>
        </w:rPr>
      </w:pPr>
      <w:r>
        <w:rPr>
          <w:rFonts w:ascii="Cambria" w:hAnsi="Cambria"/>
        </w:rPr>
        <w:t xml:space="preserve">Organismos regionales: </w:t>
      </w:r>
      <w:r>
        <w:rPr>
          <w:rFonts w:ascii="Cambria" w:hAnsi="Cambria"/>
          <w:b/>
          <w:bCs/>
        </w:rPr>
        <w:t xml:space="preserve">CEPE/NU</w:t>
      </w:r>
      <w:r>
        <w:rPr>
          <w:rFonts w:ascii="Cambria" w:hAnsi="Cambria"/>
        </w:rPr>
        <w:t xml:space="preserve">, OCDE, UE.</w:t>
      </w:r>
    </w:p>
    <w:p>
      <w:pPr>
        <w:numPr>
          <w:ilvl w:val="1"/>
          <w:numId w:val="1"/>
        </w:numPr>
        <w:jc w:val="both"/>
        <w:rPr>
          <w:rFonts w:ascii="Cambria" w:hAnsi="Cambria"/>
        </w:rPr>
      </w:pPr>
      <w:r>
        <w:rPr>
          <w:rFonts w:ascii="Cambria" w:hAnsi="Cambria"/>
        </w:rPr>
        <w:t xml:space="preserve">Organismos de ámbito regional más restringido: COPANT, ARSO, ACCSQ, y en Europa CEN, CENELEC, ETSI (en España, </w:t>
      </w:r>
      <w:r>
        <w:rPr>
          <w:rFonts w:ascii="Cambria" w:hAnsi="Cambria"/>
          <w:b/>
          <w:bCs/>
        </w:rPr>
        <w:t xml:space="preserve">AENOR</w:t>
      </w:r>
      <w:r>
        <w:rPr>
          <w:rFonts w:ascii="Cambria" w:hAnsi="Cambria"/>
        </w:rPr>
        <w:t xml:space="preserve">).</w:t>
      </w:r>
    </w:p>
    <w:p>
      <w:pPr>
        <w:numPr>
          <w:ilvl w:val="0"/>
          <w:numId w:val="1"/>
        </w:numPr>
        <w:jc w:val="both"/>
        <w:rPr>
          <w:rFonts w:ascii="Cambria" w:hAnsi="Cambria"/>
        </w:rPr>
      </w:pPr>
      <w:r>
        <w:rPr>
          <w:rFonts w:ascii="Cambria" w:hAnsi="Cambria"/>
        </w:rPr>
        <w:t xml:space="preserve">El Acuerdo TBT insta a los Miembros de la OMC a utilizar normas internacionales cuando existan.</w:t>
      </w:r>
    </w:p>
    <w:p>
      <w:pPr>
        <w:pStyle w:val="Ttulo1"/>
        <w:jc w:val="both"/>
        <w:rPr>
          <w:rFonts w:ascii="Cambria" w:hAnsi="Cambria"/>
          <w:b/>
          <w:bCs/>
          <w:color w:val="auto"/>
          <w:sz w:val="28"/>
          <w:szCs w:val="28"/>
        </w:rPr>
      </w:pPr>
      <w:r>
        <w:rPr>
          <w:rFonts w:ascii="Cambria" w:hAnsi="Cambria"/>
          <w:b/>
          <w:bCs/>
          <w:color w:val="auto"/>
          <w:sz w:val="28"/>
          <w:szCs w:val="28"/>
        </w:rPr>
        <w:t xml:space="preserve">2. NORMALIZACIÓN EN LA UE</w:t>
      </w:r>
    </w:p>
    <w:p>
      <w:pPr>
        <w:numPr>
          <w:ilvl w:val="0"/>
          <w:numId w:val="1"/>
        </w:numPr>
        <w:jc w:val="both"/>
        <w:rPr>
          <w:rFonts w:ascii="Cambria" w:hAnsi="Cambria"/>
        </w:rPr>
      </w:pPr>
      <w:r>
        <w:rPr>
          <w:rFonts w:ascii="Cambria" w:hAnsi="Cambria"/>
        </w:rPr>
        <w:t xml:space="preserve">Desde la entrada en vigor del </w:t>
      </w:r>
      <w:r>
        <w:rPr>
          <w:rFonts w:ascii="Cambria" w:hAnsi="Cambria"/>
          <w:b/>
          <w:bCs/>
        </w:rPr>
        <w:t xml:space="preserve">Mercado Único Europeo</w:t>
      </w:r>
      <w:r>
        <w:rPr>
          <w:rFonts w:ascii="Cambria" w:hAnsi="Cambria"/>
        </w:rPr>
        <w:t xml:space="preserve"> (1 de enero de 1993), la armonización legislativa y de normas técnicas es pieza esencial del mercado interior.</w:t>
      </w:r>
    </w:p>
    <w:p>
      <w:pPr>
        <w:numPr>
          <w:ilvl w:val="0"/>
          <w:numId w:val="1"/>
        </w:numPr>
        <w:jc w:val="both"/>
        <w:rPr>
          <w:rFonts w:ascii="Cambria" w:hAnsi="Cambria"/>
        </w:rPr>
      </w:pPr>
      <w:r>
        <w:rPr>
          <w:rFonts w:ascii="Cambria" w:hAnsi="Cambria"/>
        </w:rPr>
        <w:t xml:space="preserve">La normalización europea, junto con el </w:t>
      </w:r>
      <w:r>
        <w:rPr>
          <w:rFonts w:ascii="Cambria" w:hAnsi="Cambria"/>
          <w:b/>
          <w:bCs/>
        </w:rPr>
        <w:t xml:space="preserve">principio de reconocimiento mutuo</w:t>
      </w:r>
      <w:r>
        <w:rPr>
          <w:rFonts w:ascii="Cambria" w:hAnsi="Cambria"/>
        </w:rPr>
        <w:t xml:space="preserve">, garantiza la libre circulación de mercancías.</w:t>
      </w:r>
    </w:p>
    <w:p>
      <w:pPr>
        <w:numPr>
          <w:ilvl w:val="0"/>
          <w:numId w:val="1"/>
        </w:numPr>
        <w:jc w:val="both"/>
        <w:rPr>
          <w:rFonts w:ascii="Cambria" w:hAnsi="Cambria"/>
        </w:rPr>
      </w:pPr>
      <w:r>
        <w:rPr>
          <w:rFonts w:ascii="Cambria" w:hAnsi="Cambria"/>
        </w:rPr>
        <w:t xml:space="preserve">Refuerza la competitividad de la industria europea, en coordinación con los organismos internacionales de normalización.</w:t>
      </w:r>
    </w:p>
    <w:p>
      <w:pPr>
        <w:pStyle w:val="Ttulo1"/>
        <w:jc w:val="both"/>
        <w:rPr>
          <w:rFonts w:ascii="Cambria" w:hAnsi="Cambria"/>
          <w:b/>
          <w:bCs/>
          <w:color w:val="auto"/>
          <w:sz w:val="28"/>
          <w:szCs w:val="28"/>
        </w:rPr>
      </w:pPr>
      <w:r>
        <w:rPr>
          <w:rFonts w:ascii="Cambria" w:hAnsi="Cambria"/>
          <w:b/>
          <w:bCs/>
          <w:color w:val="auto"/>
          <w:sz w:val="28"/>
          <w:szCs w:val="28"/>
        </w:rPr>
        <w:t xml:space="preserve">3. NORMALIZACIÓN EN EL ÁMBITO AGROALIMENTARIO</w:t>
      </w:r>
    </w:p>
    <w:p>
      <w:pPr>
        <w:numPr>
          <w:ilvl w:val="0"/>
          <w:numId w:val="1"/>
        </w:numPr>
        <w:jc w:val="both"/>
        <w:rPr>
          <w:rFonts w:ascii="Cambria" w:hAnsi="Cambria"/>
        </w:rPr>
      </w:pPr>
      <w:r>
        <w:rPr>
          <w:rFonts w:ascii="Cambria" w:hAnsi="Cambria"/>
        </w:rPr>
        <w:t xml:space="preserve">Actualmente la </w:t>
      </w:r>
      <w:r>
        <w:rPr>
          <w:rFonts w:ascii="Cambria" w:hAnsi="Cambria"/>
          <w:b/>
          <w:bCs/>
        </w:rPr>
        <w:t xml:space="preserve">OCM Única</w:t>
      </w:r>
      <w:r>
        <w:rPr>
          <w:rFonts w:ascii="Cambria" w:hAnsi="Cambria"/>
        </w:rPr>
        <w:t xml:space="preserve"> abarca prácticamente todos los productos agroalimentarios, antes regulados por 21 OCM sectoriales.</w:t>
      </w:r>
    </w:p>
    <w:p>
      <w:pPr>
        <w:numPr>
          <w:ilvl w:val="0"/>
          <w:numId w:val="1"/>
        </w:numPr>
        <w:jc w:val="both"/>
        <w:rPr>
          <w:rFonts w:ascii="Cambria" w:hAnsi="Cambria"/>
        </w:rPr>
      </w:pPr>
      <w:r>
        <w:rPr>
          <w:rFonts w:ascii="Cambria" w:hAnsi="Cambria"/>
        </w:rPr>
        <w:t xml:space="preserve">Objetivo: mejorar la rentabilidad de la producción y adaptarla a la demanda de los consumidores.</w:t>
      </w:r>
    </w:p>
    <w:p>
      <w:pPr>
        <w:pStyle w:val="Ttulo2"/>
        <w:jc w:val="both"/>
        <w:rPr>
          <w:rFonts w:ascii="Cambria" w:hAnsi="Cambria"/>
          <w:b/>
          <w:bCs/>
          <w:color w:val="auto"/>
          <w:sz w:val="24"/>
          <w:szCs w:val="24"/>
        </w:rPr>
      </w:pPr>
      <w:r>
        <w:rPr>
          <w:rFonts w:ascii="Cambria" w:hAnsi="Cambria"/>
          <w:b/>
          <w:bCs/>
          <w:color w:val="auto"/>
          <w:sz w:val="24"/>
          <w:szCs w:val="24"/>
        </w:rPr>
        <w:t xml:space="preserve">3.1. Las OCM</w:t>
      </w:r>
    </w:p>
    <w:p>
      <w:pPr>
        <w:numPr>
          <w:ilvl w:val="0"/>
          <w:numId w:val="1"/>
        </w:numPr>
        <w:jc w:val="both"/>
        <w:rPr>
          <w:rFonts w:ascii="Cambria" w:hAnsi="Cambria"/>
        </w:rPr>
      </w:pPr>
      <w:r>
        <w:rPr>
          <w:rFonts w:ascii="Cambria" w:hAnsi="Cambria"/>
        </w:rPr>
        <w:t xml:space="preserve">Existen dos grandes OCM: </w:t>
      </w:r>
      <w:r>
        <w:rPr>
          <w:rFonts w:ascii="Cambria" w:hAnsi="Cambria"/>
          <w:b/>
          <w:bCs/>
        </w:rPr>
        <w:t xml:space="preserve">Política Agrícola Común (PAC)</w:t>
      </w:r>
      <w:r>
        <w:rPr>
          <w:rFonts w:ascii="Cambria" w:hAnsi="Cambria"/>
        </w:rPr>
        <w:t xml:space="preserve"> y </w:t>
      </w:r>
      <w:r>
        <w:rPr>
          <w:rFonts w:ascii="Cambria" w:hAnsi="Cambria"/>
          <w:b/>
          <w:bCs/>
        </w:rPr>
        <w:t xml:space="preserve">Política Pesquera Común (PPC)</w:t>
      </w:r>
      <w:r>
        <w:rPr>
          <w:rFonts w:ascii="Cambria" w:hAnsi="Cambria"/>
        </w:rPr>
        <w:t xml:space="preserve">.</w:t>
      </w:r>
    </w:p>
    <w:p>
      <w:pPr>
        <w:numPr>
          <w:ilvl w:val="0"/>
          <w:numId w:val="1"/>
        </w:numPr>
        <w:jc w:val="both"/>
        <w:rPr>
          <w:rFonts w:ascii="Cambria" w:hAnsi="Cambria"/>
        </w:rPr>
      </w:pPr>
      <w:r>
        <w:rPr>
          <w:rFonts w:ascii="Cambria" w:hAnsi="Cambria"/>
        </w:rPr>
        <w:t xml:space="preserve">OCM Única de frutas y hortalizas, basada en tres principios:</w:t>
      </w:r>
    </w:p>
    <w:p>
      <w:pPr>
        <w:numPr>
          <w:ilvl w:val="1"/>
          <w:numId w:val="1"/>
        </w:numPr>
        <w:jc w:val="both"/>
        <w:rPr>
          <w:rFonts w:ascii="Cambria" w:hAnsi="Cambria"/>
        </w:rPr>
      </w:pPr>
      <w:r>
        <w:rPr>
          <w:rFonts w:ascii="Cambria" w:hAnsi="Cambria"/>
          <w:b/>
          <w:bCs/>
        </w:rPr>
        <w:t xml:space="preserve">Unidad de Mercado</w:t>
      </w:r>
      <w:r>
        <w:rPr>
          <w:rFonts w:ascii="Cambria" w:hAnsi="Cambria"/>
        </w:rPr>
        <w:t xml:space="preserve">: libre circulación, armonización de legislaciones y controles, protección uniforme en frontera exterior.</w:t>
      </w:r>
    </w:p>
    <w:p>
      <w:pPr>
        <w:numPr>
          <w:ilvl w:val="1"/>
          <w:numId w:val="1"/>
        </w:numPr>
        <w:jc w:val="both"/>
        <w:rPr>
          <w:rFonts w:ascii="Cambria" w:hAnsi="Cambria"/>
        </w:rPr>
      </w:pPr>
      <w:r>
        <w:rPr>
          <w:rFonts w:ascii="Cambria" w:hAnsi="Cambria"/>
          <w:b/>
          <w:bCs/>
        </w:rPr>
        <w:t xml:space="preserve">Preferencia Comunitaria</w:t>
      </w:r>
      <w:r>
        <w:rPr>
          <w:rFonts w:ascii="Cambria" w:hAnsi="Cambria"/>
        </w:rPr>
        <w:t xml:space="preserve">: protección arancelaria frente a la competencia exterior.</w:t>
      </w:r>
    </w:p>
    <w:p>
      <w:pPr>
        <w:numPr>
          <w:ilvl w:val="1"/>
          <w:numId w:val="1"/>
        </w:numPr>
        <w:jc w:val="both"/>
        <w:rPr>
          <w:rFonts w:ascii="Cambria" w:hAnsi="Cambria"/>
        </w:rPr>
      </w:pPr>
      <w:r>
        <w:rPr>
          <w:rFonts w:ascii="Cambria" w:hAnsi="Cambria"/>
          <w:b/>
          <w:bCs/>
        </w:rPr>
        <w:t xml:space="preserve">Solidaridad Financiera</w:t>
      </w:r>
      <w:r>
        <w:rPr>
          <w:rFonts w:ascii="Cambria" w:hAnsi="Cambria"/>
        </w:rPr>
        <w:t xml:space="preserve">: participación conjunta de los Estados Miembros en los costes.</w:t>
      </w:r>
    </w:p>
    <w:p>
      <w:pPr>
        <w:numPr>
          <w:ilvl w:val="0"/>
          <w:numId w:val="1"/>
        </w:numPr>
        <w:jc w:val="both"/>
        <w:rPr>
          <w:rFonts w:ascii="Cambria" w:hAnsi="Cambria"/>
        </w:rPr>
      </w:pPr>
      <w:r>
        <w:rPr>
          <w:rFonts w:ascii="Cambria" w:hAnsi="Cambria"/>
        </w:rPr>
        <w:t xml:space="preserve">La </w:t>
      </w:r>
      <w:r>
        <w:rPr>
          <w:rFonts w:ascii="Cambria" w:hAnsi="Cambria"/>
          <w:b/>
          <w:bCs/>
        </w:rPr>
        <w:t xml:space="preserve">PAC</w:t>
      </w:r>
      <w:r>
        <w:rPr>
          <w:rFonts w:ascii="Cambria" w:hAnsi="Cambria"/>
        </w:rPr>
        <w:t xml:space="preserve"> entró en vigor en </w:t>
      </w:r>
      <w:r>
        <w:rPr>
          <w:rFonts w:ascii="Cambria" w:hAnsi="Cambria"/>
          <w:b/>
          <w:bCs/>
        </w:rPr>
        <w:t xml:space="preserve">1962</w:t>
      </w:r>
      <w:r>
        <w:rPr>
          <w:rFonts w:ascii="Cambria" w:hAnsi="Cambria"/>
        </w:rPr>
        <w:t xml:space="preserve">. Ejes actuales: competitividad de los agricultores y desarrollo de zonas rurales.</w:t>
      </w:r>
    </w:p>
    <w:p>
      <w:pPr>
        <w:numPr>
          <w:ilvl w:val="0"/>
          <w:numId w:val="1"/>
        </w:numPr>
        <w:jc w:val="both"/>
        <w:rPr>
          <w:rFonts w:ascii="Cambria" w:hAnsi="Cambria"/>
        </w:rPr>
      </w:pPr>
      <w:r>
        <w:rPr>
          <w:rFonts w:ascii="Cambria" w:hAnsi="Cambria"/>
        </w:rPr>
        <w:t xml:space="preserve">En </w:t>
      </w:r>
      <w:r>
        <w:rPr>
          <w:rFonts w:ascii="Cambria" w:hAnsi="Cambria"/>
          <w:b/>
          <w:bCs/>
        </w:rPr>
        <w:t xml:space="preserve">2008</w:t>
      </w:r>
      <w:r>
        <w:rPr>
          <w:rFonts w:ascii="Cambria" w:hAnsi="Cambria"/>
        </w:rPr>
        <w:t xml:space="preserve"> se pasó de un planteamiento sectorial (una OCM por sector) a una </w:t>
      </w:r>
      <w:r>
        <w:rPr>
          <w:rFonts w:ascii="Cambria" w:hAnsi="Cambria"/>
          <w:b/>
          <w:bCs/>
        </w:rPr>
        <w:t xml:space="preserve">OCM Única</w:t>
      </w:r>
      <w:r>
        <w:rPr>
          <w:rFonts w:ascii="Cambria" w:hAnsi="Cambria"/>
        </w:rPr>
        <w:t xml:space="preserve">, que cubre intervenciones públicas, cuotas y ayudas, intercambios con terceros países y normas de comercialización y producción.</w:t>
      </w:r>
    </w:p>
    <w:p>
      <w:pPr>
        <w:numPr>
          <w:ilvl w:val="0"/>
          <w:numId w:val="1"/>
        </w:numPr>
        <w:jc w:val="both"/>
        <w:rPr>
          <w:rFonts w:ascii="Cambria" w:hAnsi="Cambria"/>
        </w:rPr>
      </w:pPr>
      <w:r>
        <w:rPr>
          <w:rFonts w:ascii="Cambria" w:hAnsi="Cambria"/>
          <w:b/>
          <w:bCs/>
        </w:rPr>
        <w:t xml:space="preserve">PPC</w:t>
      </w:r>
      <w:r>
        <w:rPr>
          <w:rFonts w:ascii="Cambria" w:hAnsi="Cambria"/>
        </w:rPr>
        <w:t xml:space="preserve">: fundamento jurídico compartido con la PAC. Objetivos: protección de poblaciones pesqueras, renta de los pescadores, suministro regular a precios razonables y explotación sostenible.</w:t>
      </w:r>
    </w:p>
    <w:p>
      <w:pPr>
        <w:numPr>
          <w:ilvl w:val="0"/>
          <w:numId w:val="1"/>
        </w:numPr>
        <w:jc w:val="both"/>
        <w:rPr>
          <w:rFonts w:ascii="Cambria" w:hAnsi="Cambria"/>
        </w:rPr>
      </w:pPr>
      <w:r>
        <w:rPr>
          <w:rFonts w:ascii="Cambria" w:hAnsi="Cambria"/>
        </w:rPr>
        <w:t xml:space="preserve">La OCM de pesca y acuicultura se creó en </w:t>
      </w:r>
      <w:r>
        <w:rPr>
          <w:rFonts w:ascii="Cambria" w:hAnsi="Cambria"/>
          <w:b/>
          <w:bCs/>
        </w:rPr>
        <w:t xml:space="preserve">1970</w:t>
      </w:r>
      <w:r>
        <w:rPr>
          <w:rFonts w:ascii="Cambria" w:hAnsi="Cambria"/>
        </w:rPr>
        <w:t xml:space="preserve">. Exige normas de comercialización sobre categoría de calidad, tamaño, peso, embalaje, presentación y etiquetado, con información al consumidor sobre especie, método de producción y zona de captura.</w:t>
      </w:r>
    </w:p>
    <w:p>
      <w:pPr>
        <w:numPr>
          <w:ilvl w:val="0"/>
          <w:numId w:val="1"/>
        </w:numPr>
        <w:jc w:val="both"/>
        <w:rPr>
          <w:rFonts w:ascii="Cambria" w:hAnsi="Cambria"/>
        </w:rPr>
      </w:pPr>
      <w:r>
        <w:rPr>
          <w:rFonts w:ascii="Cambria" w:hAnsi="Cambria"/>
        </w:rPr>
        <w:t xml:space="preserve">Los Estados Miembros controlan la conformidad con las normas de comercialización.</w:t>
      </w:r>
    </w:p>
    <w:p>
      <w:pPr>
        <w:pStyle w:val="Ttulo2"/>
        <w:jc w:val="both"/>
        <w:rPr>
          <w:rFonts w:ascii="Cambria" w:hAnsi="Cambria"/>
          <w:b/>
          <w:bCs/>
          <w:color w:val="auto"/>
          <w:sz w:val="24"/>
          <w:szCs w:val="24"/>
        </w:rPr>
      </w:pPr>
      <w:r>
        <w:rPr>
          <w:rFonts w:ascii="Cambria" w:hAnsi="Cambria"/>
          <w:b/>
          <w:bCs/>
          <w:color w:val="auto"/>
          <w:sz w:val="24"/>
          <w:szCs w:val="24"/>
        </w:rPr>
        <w:t xml:space="preserve">3.2. Base jurídica de la normalización de frutas y hortalizas</w:t>
      </w:r>
    </w:p>
    <w:p>
      <w:pPr>
        <w:numPr>
          <w:ilvl w:val="0"/>
          <w:numId w:val="1"/>
        </w:numPr>
        <w:jc w:val="both"/>
        <w:rPr>
          <w:rFonts w:ascii="Cambria" w:hAnsi="Cambria"/>
        </w:rPr>
      </w:pPr>
      <w:r>
        <w:rPr>
          <w:rFonts w:ascii="Cambria" w:hAnsi="Cambria"/>
          <w:b/>
          <w:bCs/>
        </w:rPr>
        <w:t xml:space="preserve">Reglamento (UE) 1308/2013</w:t>
      </w:r>
      <w:r>
        <w:rPr>
          <w:rFonts w:ascii="Cambria" w:hAnsi="Cambria"/>
        </w:rPr>
        <w:t xml:space="preserve">, por el que se crea la OCM Única de productos agrarios.</w:t>
      </w:r>
    </w:p>
    <w:p>
      <w:pPr>
        <w:numPr>
          <w:ilvl w:val="0"/>
          <w:numId w:val="1"/>
        </w:numPr>
        <w:jc w:val="both"/>
        <w:rPr>
          <w:rFonts w:ascii="Cambria" w:hAnsi="Cambria"/>
        </w:rPr>
      </w:pPr>
      <w:r>
        <w:rPr>
          <w:rFonts w:ascii="Cambria" w:hAnsi="Cambria"/>
          <w:b/>
          <w:bCs/>
        </w:rPr>
        <w:t xml:space="preserve">Reglamento Delegado (UE) 2023/2429</w:t>
      </w:r>
      <w:r>
        <w:rPr>
          <w:rFonts w:ascii="Cambria" w:hAnsi="Cambria"/>
        </w:rPr>
        <w:t xml:space="preserve">, sobre normas de comercialización para frutas y hortalizas, productos transformados y plátanos, junto con el </w:t>
      </w:r>
      <w:r>
        <w:rPr>
          <w:rFonts w:ascii="Cambria" w:hAnsi="Cambria"/>
          <w:b/>
          <w:bCs/>
        </w:rPr>
        <w:t xml:space="preserve">Reglamento de Ejecución (UE) 2023/2430</w:t>
      </w:r>
      <w:r>
        <w:rPr>
          <w:rFonts w:ascii="Cambria" w:hAnsi="Cambria"/>
        </w:rPr>
        <w:t xml:space="preserve">, sobre controles de conformidad y notificaciones. Aplicables desde el </w:t>
      </w:r>
      <w:r>
        <w:rPr>
          <w:rFonts w:ascii="Cambria" w:hAnsi="Cambria"/>
          <w:b/>
          <w:bCs/>
        </w:rPr>
        <w:t xml:space="preserve">1 de enero de 2025</w:t>
      </w:r>
      <w:r>
        <w:rPr>
          <w:rFonts w:ascii="Cambria" w:hAnsi="Cambria"/>
        </w:rPr>
        <w:t xml:space="preserve">, el Reglamento de Ejecución (UE) 1333/2011 y el Reglamento (CE) 1666/1999, unificando la normativa dispersa.</w:t>
      </w:r>
    </w:p>
    <w:p>
      <w:pPr>
        <w:numPr>
          <w:ilvl w:val="0"/>
          <w:numId w:val="1"/>
        </w:numPr>
        <w:jc w:val="both"/>
        <w:rPr>
          <w:rFonts w:ascii="Cambria" w:hAnsi="Cambria"/>
        </w:rPr>
      </w:pPr>
      <w:r>
        <w:rPr>
          <w:rFonts w:ascii="Cambria" w:hAnsi="Cambria"/>
        </w:rPr>
        <w:t xml:space="preserve">El </w:t>
      </w:r>
      <w:r>
        <w:rPr>
          <w:rFonts w:ascii="Cambria" w:hAnsi="Cambria"/>
          <w:b/>
          <w:bCs/>
        </w:rPr>
        <w:t xml:space="preserve">Artículo 1</w:t>
      </w:r>
      <w:r>
        <w:rPr>
          <w:rFonts w:ascii="Cambria" w:hAnsi="Cambria"/>
        </w:rPr>
        <w:t xml:space="preserve"> del Reglamento (UE) 1308/2013 remite a la Parte IX (frutas y hortalizas), Parte X (transformados) y Parte XI (plátanos) del Anexo I, correspondientes en general a los capítulos 07 y 08 del Sistema Armonizado, con excepciones como las patatas.</w:t>
      </w:r>
    </w:p>
    <w:p>
      <w:pPr>
        <w:numPr>
          <w:ilvl w:val="0"/>
          <w:numId w:val="1"/>
        </w:numPr>
        <w:jc w:val="both"/>
        <w:rPr>
          <w:rFonts w:ascii="Cambria" w:hAnsi="Cambria"/>
        </w:rPr>
      </w:pPr>
      <w:r>
        <w:rPr>
          <w:rFonts w:ascii="Cambria" w:hAnsi="Cambria"/>
        </w:rPr>
        <w:t xml:space="preserve">El </w:t>
      </w:r>
      <w:r>
        <w:rPr>
          <w:rFonts w:ascii="Cambria" w:hAnsi="Cambria"/>
          <w:b/>
          <w:bCs/>
        </w:rPr>
        <w:t xml:space="preserve">Artículo 75</w:t>
      </w:r>
      <w:r>
        <w:rPr>
          <w:rFonts w:ascii="Cambria" w:hAnsi="Cambria"/>
        </w:rPr>
        <w:t xml:space="preserve"> otorga a la Comisión poderes para adoptar actos delegados sobre normas de comercialización, excepciones e inaplicaciones.</w:t>
      </w:r>
    </w:p>
    <w:p>
      <w:pPr>
        <w:numPr>
          <w:ilvl w:val="0"/>
          <w:numId w:val="1"/>
        </w:numPr>
        <w:jc w:val="both"/>
        <w:rPr>
          <w:rFonts w:ascii="Cambria" w:hAnsi="Cambria"/>
        </w:rPr>
      </w:pPr>
      <w:r>
        <w:rPr>
          <w:rFonts w:ascii="Cambria" w:hAnsi="Cambria"/>
        </w:rPr>
        <w:t xml:space="preserve">La UE colabora estrechamente con la </w:t>
      </w:r>
      <w:r>
        <w:rPr>
          <w:rFonts w:ascii="Cambria" w:hAnsi="Cambria"/>
          <w:b/>
          <w:bCs/>
        </w:rPr>
        <w:t xml:space="preserve">CEPE/NU</w:t>
      </w:r>
      <w:r>
        <w:rPr>
          <w:rFonts w:ascii="Cambria" w:hAnsi="Cambria"/>
        </w:rPr>
        <w:t xml:space="preserve">, en particular a través del Grupo de Trabajo sobre Normas de Calidad Agrícola. Las normas de la UE se ajustan a la Norma-Cuadro de la CEPE/NU y al Geneve Understanding.</w:t>
      </w:r>
    </w:p>
    <w:p>
      <w:pPr>
        <w:numPr>
          <w:ilvl w:val="0"/>
          <w:numId w:val="1"/>
        </w:numPr>
        <w:jc w:val="both"/>
        <w:rPr>
          <w:rFonts w:ascii="Cambria" w:hAnsi="Cambria"/>
        </w:rPr>
      </w:pPr>
      <w:r>
        <w:rPr>
          <w:rFonts w:ascii="Cambria" w:hAnsi="Cambria"/>
        </w:rPr>
        <w:t xml:space="preserve">Las normas son obligatorias y se aplican en todas las fases de comercialización, incluidas importación y exportación.</w:t>
      </w:r>
    </w:p>
    <w:p>
      <w:pPr>
        <w:numPr>
          <w:ilvl w:val="0"/>
          <w:numId w:val="1"/>
        </w:numPr>
        <w:jc w:val="both"/>
        <w:rPr>
          <w:rFonts w:ascii="Cambria" w:hAnsi="Cambria"/>
        </w:rPr>
      </w:pPr>
      <w:r>
        <w:rPr>
          <w:rFonts w:ascii="Cambria" w:hAnsi="Cambria"/>
        </w:rPr>
        <w:t xml:space="preserve">Tipos de normas de comercialización:</w:t>
      </w:r>
    </w:p>
    <w:p>
      <w:pPr>
        <w:numPr>
          <w:ilvl w:val="1"/>
          <w:numId w:val="1"/>
        </w:numPr>
        <w:jc w:val="both"/>
        <w:rPr>
          <w:rFonts w:ascii="Cambria" w:hAnsi="Cambria"/>
        </w:rPr>
      </w:pPr>
      <w:r>
        <w:rPr>
          <w:rFonts w:ascii="Cambria" w:hAnsi="Cambria"/>
          <w:b/>
          <w:bCs/>
        </w:rPr>
        <w:t xml:space="preserve">Norma de Comercialización General</w:t>
      </w:r>
      <w:r>
        <w:rPr>
          <w:rFonts w:ascii="Cambria" w:hAnsi="Cambria"/>
        </w:rPr>
        <w:t xml:space="preserve">: aplicable a productos sin norma específica, remite a las normas CEPE/NU.</w:t>
      </w:r>
    </w:p>
    <w:p>
      <w:pPr>
        <w:numPr>
          <w:ilvl w:val="1"/>
          <w:numId w:val="1"/>
        </w:numPr>
        <w:jc w:val="both"/>
        <w:rPr>
          <w:rFonts w:ascii="Cambria" w:hAnsi="Cambria"/>
        </w:rPr>
      </w:pPr>
      <w:r>
        <w:rPr>
          <w:rFonts w:ascii="Cambria" w:hAnsi="Cambria"/>
          <w:b/>
          <w:bCs/>
        </w:rPr>
        <w:t xml:space="preserve">Normas de Comercialización Específicas</w:t>
      </w:r>
      <w:r>
        <w:rPr>
          <w:rFonts w:ascii="Cambria" w:hAnsi="Cambria"/>
        </w:rPr>
        <w:t xml:space="preserve">: aplicables a 10 productos (manzanas, cítricos, kiwis, lechugas y escarolas, melocotones y nectarinas, peras, fresas, pimientos dulces, uvas de mesa y tomates).</w:t>
      </w:r>
    </w:p>
    <w:p>
      <w:pPr>
        <w:numPr>
          <w:ilvl w:val="0"/>
          <w:numId w:val="1"/>
        </w:numPr>
        <w:jc w:val="both"/>
        <w:rPr>
          <w:rFonts w:ascii="Cambria" w:hAnsi="Cambria"/>
        </w:rPr>
      </w:pPr>
      <w:r>
        <w:rPr>
          <w:rFonts w:ascii="Cambria" w:hAnsi="Cambria"/>
        </w:rPr>
        <w:t xml:space="preserve">Antes de la reforma de 2008 existían 34 normas específicas, reducidas por un procedimiento de simplificación.</w:t>
      </w:r>
    </w:p>
    <w:p>
      <w:pPr>
        <w:numPr>
          <w:ilvl w:val="0"/>
          <w:numId w:val="1"/>
        </w:numPr>
        <w:jc w:val="both"/>
        <w:rPr>
          <w:rFonts w:ascii="Cambria" w:hAnsi="Cambria"/>
        </w:rPr>
      </w:pPr>
      <w:r>
        <w:rPr>
          <w:rFonts w:ascii="Cambria" w:hAnsi="Cambria"/>
        </w:rPr>
        <w:t xml:space="preserve">Con el Reglamento Delegado (UE) 2023/2429, la norma de comercialización de los plátanos queda integrada en el mismo instrumento que la norma general y las específicas.</w:t>
      </w:r>
    </w:p>
    <w:p>
      <w:pPr>
        <w:numPr>
          <w:ilvl w:val="0"/>
          <w:numId w:val="1"/>
        </w:numPr>
        <w:jc w:val="both"/>
        <w:rPr>
          <w:rFonts w:ascii="Cambria" w:hAnsi="Cambria"/>
        </w:rPr>
      </w:pPr>
      <w:r>
        <w:rPr>
          <w:rFonts w:ascii="Cambria" w:hAnsi="Cambria"/>
        </w:rPr>
        <w:t xml:space="preserve">Las normas cumplen el </w:t>
      </w:r>
      <w:r>
        <w:rPr>
          <w:rFonts w:ascii="Cambria" w:hAnsi="Cambria"/>
          <w:b/>
          <w:bCs/>
        </w:rPr>
        <w:t xml:space="preserve">Principio de no Discriminación</w:t>
      </w:r>
      <w:r>
        <w:rPr>
          <w:rFonts w:ascii="Cambria" w:hAnsi="Cambria"/>
        </w:rPr>
        <w:t xml:space="preserve"> de los Acuerdos TBT y SPS.</w:t>
      </w:r>
    </w:p>
    <w:p>
      <w:pPr>
        <w:numPr>
          <w:ilvl w:val="0"/>
          <w:numId w:val="1"/>
        </w:numPr>
        <w:jc w:val="both"/>
        <w:rPr>
          <w:rFonts w:ascii="Cambria" w:hAnsi="Cambria"/>
        </w:rPr>
      </w:pPr>
      <w:r>
        <w:rPr>
          <w:rFonts w:ascii="Cambria" w:hAnsi="Cambria"/>
        </w:rPr>
        <w:t xml:space="preserve">Los Estados Miembros efectúan controles selectivos antes de la salida de las regiones de producción, y para terceros países antes del despacho a libre práctica.</w:t>
      </w:r>
    </w:p>
    <w:p>
      <w:pPr>
        <w:pStyle w:val="Ttulo2"/>
        <w:jc w:val="both"/>
        <w:rPr>
          <w:rFonts w:ascii="Cambria" w:hAnsi="Cambria"/>
          <w:b/>
          <w:bCs/>
          <w:color w:val="auto"/>
          <w:sz w:val="24"/>
          <w:szCs w:val="24"/>
        </w:rPr>
      </w:pPr>
      <w:r>
        <w:rPr>
          <w:rFonts w:ascii="Cambria" w:hAnsi="Cambria"/>
          <w:b/>
          <w:bCs/>
          <w:color w:val="auto"/>
          <w:sz w:val="24"/>
          <w:szCs w:val="24"/>
        </w:rPr>
        <w:t xml:space="preserve">3.3. Sistema de elaboración y adopción de normas de comercialización</w:t>
      </w:r>
    </w:p>
    <w:p>
      <w:pPr>
        <w:numPr>
          <w:ilvl w:val="0"/>
          <w:numId w:val="1"/>
        </w:numPr>
        <w:jc w:val="both"/>
        <w:rPr>
          <w:rFonts w:ascii="Cambria" w:hAnsi="Cambria"/>
        </w:rPr>
      </w:pPr>
      <w:r>
        <w:rPr>
          <w:rFonts w:ascii="Cambria" w:hAnsi="Cambria"/>
        </w:rPr>
        <w:t xml:space="preserve">La </w:t>
      </w:r>
      <w:r>
        <w:rPr>
          <w:rFonts w:ascii="Cambria" w:hAnsi="Cambria"/>
          <w:b/>
          <w:bCs/>
        </w:rPr>
        <w:t xml:space="preserve">Comisión</w:t>
      </w:r>
      <w:r>
        <w:rPr>
          <w:rFonts w:ascii="Cambria" w:hAnsi="Cambria"/>
        </w:rPr>
        <w:t xml:space="preserve"> es el órgano competente para adoptar las normas de comercialización y sus excepciones.</w:t>
      </w:r>
    </w:p>
    <w:p>
      <w:pPr>
        <w:numPr>
          <w:ilvl w:val="0"/>
          <w:numId w:val="1"/>
        </w:numPr>
        <w:jc w:val="both"/>
        <w:rPr>
          <w:rFonts w:ascii="Cambria" w:hAnsi="Cambria"/>
        </w:rPr>
      </w:pPr>
      <w:r>
        <w:rPr>
          <w:rFonts w:ascii="Cambria" w:hAnsi="Cambria"/>
        </w:rPr>
        <w:t xml:space="preserve">Está asistida por el </w:t>
      </w:r>
      <w:r>
        <w:rPr>
          <w:rFonts w:ascii="Cambria" w:hAnsi="Cambria"/>
          <w:b/>
          <w:bCs/>
        </w:rPr>
        <w:t xml:space="preserve">Comité de Gestión de la OCM Agrícola</w:t>
      </w:r>
      <w:r>
        <w:rPr>
          <w:rFonts w:ascii="Cambria" w:hAnsi="Cambria"/>
        </w:rPr>
        <w:t xml:space="preserve">, integrado por representantes de los Estados Miembros, conforme a las reglas de comitología.</w:t>
      </w:r>
    </w:p>
    <w:p>
      <w:pPr>
        <w:numPr>
          <w:ilvl w:val="0"/>
          <w:numId w:val="1"/>
        </w:numPr>
        <w:jc w:val="both"/>
        <w:rPr>
          <w:rFonts w:ascii="Cambria" w:hAnsi="Cambria"/>
        </w:rPr>
      </w:pPr>
      <w:r>
        <w:rPr>
          <w:rFonts w:ascii="Cambria" w:hAnsi="Cambria"/>
        </w:rPr>
        <w:t xml:space="preserve">Un representante de la Comisión somete al Comité un proyecto de norma, asistido por el subgrupo de normalización de frutas y hortalizas (carácter consultivo).</w:t>
      </w:r>
    </w:p>
    <w:p>
      <w:pPr>
        <w:numPr>
          <w:ilvl w:val="0"/>
          <w:numId w:val="1"/>
        </w:numPr>
        <w:jc w:val="both"/>
        <w:rPr>
          <w:rFonts w:ascii="Cambria" w:hAnsi="Cambria"/>
        </w:rPr>
      </w:pPr>
      <w:r>
        <w:rPr>
          <w:rFonts w:ascii="Cambria" w:hAnsi="Cambria"/>
        </w:rPr>
        <w:t xml:space="preserve">El Comité emite dictamen por votación según </w:t>
      </w:r>
      <w:r>
        <w:rPr>
          <w:rFonts w:ascii="Cambria" w:hAnsi="Cambria"/>
          <w:b/>
          <w:bCs/>
        </w:rPr>
        <w:t xml:space="preserve">mayoría cualificada</w:t>
      </w:r>
      <w:r>
        <w:rPr>
          <w:rFonts w:ascii="Cambria" w:hAnsi="Cambria"/>
        </w:rPr>
        <w:t xml:space="preserve">. Si es favorable, la propuesta se incorpora a la legislación de la UE.</w:t>
      </w:r>
    </w:p>
    <w:p>
      <w:pPr>
        <w:pStyle w:val="Ttulo2"/>
        <w:jc w:val="both"/>
        <w:rPr>
          <w:rFonts w:ascii="Cambria" w:hAnsi="Cambria"/>
          <w:b/>
          <w:bCs/>
          <w:color w:val="auto"/>
          <w:sz w:val="24"/>
          <w:szCs w:val="24"/>
        </w:rPr>
      </w:pPr>
      <w:r>
        <w:rPr>
          <w:rFonts w:ascii="Cambria" w:hAnsi="Cambria"/>
          <w:b/>
          <w:bCs/>
          <w:color w:val="auto"/>
          <w:sz w:val="24"/>
          <w:szCs w:val="24"/>
        </w:rPr>
        <w:t xml:space="preserve">3.4. Otras normas en el ámbito agroalimentario</w:t>
      </w:r>
    </w:p>
    <w:p>
      <w:pPr>
        <w:numPr>
          <w:ilvl w:val="0"/>
          <w:numId w:val="1"/>
        </w:numPr>
        <w:jc w:val="both"/>
        <w:rPr>
          <w:rFonts w:ascii="Cambria" w:hAnsi="Cambria"/>
        </w:rPr>
      </w:pPr>
      <w:r>
        <w:rPr>
          <w:rFonts w:ascii="Cambria" w:hAnsi="Cambria"/>
          <w:b/>
          <w:bCs/>
        </w:rPr>
        <w:t xml:space="preserve">Aceite de oliva</w:t>
      </w:r>
      <w:r>
        <w:rPr>
          <w:rFonts w:ascii="Cambria" w:hAnsi="Cambria"/>
        </w:rPr>
        <w:t xml:space="preserve">: </w:t>
      </w:r>
      <w:r>
        <w:rPr>
          <w:rFonts w:ascii="Cambria" w:hAnsi="Cambria"/>
          <w:b/>
          <w:bCs/>
        </w:rPr>
        <w:t xml:space="preserve">Reglamento Delegado (UE) 2022/2104</w:t>
      </w:r>
      <w:r>
        <w:rPr>
          <w:rFonts w:ascii="Cambria" w:hAnsi="Cambria"/>
        </w:rPr>
        <w:t xml:space="preserve"> y </w:t>
      </w:r>
      <w:r>
        <w:rPr>
          <w:rFonts w:ascii="Cambria" w:hAnsi="Cambria"/>
          <w:b/>
          <w:bCs/>
        </w:rPr>
        <w:t xml:space="preserve">Reglamento de Ejecución (UE) 2022/2105</w:t>
      </w:r>
      <w:r>
        <w:rPr>
          <w:rFonts w:ascii="Cambria" w:hAnsi="Cambria"/>
        </w:rPr>
        <w:t xml:space="preserve">, aplicables desde el 24 de noviembre de 2022. En España, </w:t>
      </w:r>
      <w:r>
        <w:rPr>
          <w:rFonts w:ascii="Cambria" w:hAnsi="Cambria"/>
          <w:b/>
          <w:bCs/>
        </w:rPr>
        <w:t xml:space="preserve">Real Decreto 760/2021</w:t>
      </w:r>
      <w:r>
        <w:rPr>
          <w:rFonts w:ascii="Cambria" w:hAnsi="Cambria"/>
        </w:rPr>
        <w:t xml:space="preserve">, norma de calidad para el aceite de oliva y de orujo.</w:t>
      </w:r>
    </w:p>
    <w:p>
      <w:pPr>
        <w:numPr>
          <w:ilvl w:val="0"/>
          <w:numId w:val="1"/>
        </w:numPr>
        <w:jc w:val="both"/>
        <w:rPr>
          <w:rFonts w:ascii="Cambria" w:hAnsi="Cambria"/>
        </w:rPr>
      </w:pPr>
      <w:r>
        <w:rPr>
          <w:rFonts w:ascii="Cambria" w:hAnsi="Cambria"/>
          <w:b/>
          <w:bCs/>
        </w:rPr>
        <w:t xml:space="preserve">Leche y productos lácteos</w:t>
      </w:r>
      <w:r>
        <w:rPr>
          <w:rFonts w:ascii="Cambria" w:hAnsi="Cambria"/>
        </w:rPr>
        <w:t xml:space="preserve">: deben ajustarse a las definiciones de la OCM Única. Ejemplo: </w:t>
      </w:r>
      <w:r>
        <w:rPr>
          <w:rFonts w:ascii="Cambria" w:hAnsi="Cambria"/>
          <w:b/>
          <w:bCs/>
        </w:rPr>
        <w:t xml:space="preserve">Real Decreto 271/2014</w:t>
      </w:r>
      <w:r>
        <w:rPr>
          <w:rFonts w:ascii="Cambria" w:hAnsi="Cambria"/>
        </w:rPr>
        <w:t xml:space="preserve">, norma de calidad del yogur.</w:t>
      </w:r>
    </w:p>
    <w:p>
      <w:pPr>
        <w:numPr>
          <w:ilvl w:val="0"/>
          <w:numId w:val="1"/>
        </w:numPr>
        <w:jc w:val="both"/>
        <w:rPr>
          <w:rFonts w:ascii="Cambria" w:hAnsi="Cambria"/>
        </w:rPr>
      </w:pPr>
      <w:r>
        <w:rPr>
          <w:rFonts w:ascii="Cambria" w:hAnsi="Cambria"/>
          <w:b/>
          <w:bCs/>
        </w:rPr>
        <w:t xml:space="preserve">Materias grasas</w:t>
      </w:r>
      <w:r>
        <w:rPr>
          <w:rFonts w:ascii="Cambria" w:hAnsi="Cambria"/>
        </w:rPr>
        <w:t xml:space="preserve">: la OCM Única regula las lácteas y no lácteas (10 %-90 % de contenido graso). Ejemplo: </w:t>
      </w:r>
      <w:r>
        <w:rPr>
          <w:rFonts w:ascii="Cambria" w:hAnsi="Cambria"/>
          <w:b/>
          <w:bCs/>
        </w:rPr>
        <w:t xml:space="preserve">Real Decreto 1011/1981</w:t>
      </w:r>
      <w:r>
        <w:rPr>
          <w:rFonts w:ascii="Cambria" w:hAnsi="Cambria"/>
        </w:rPr>
        <w:t xml:space="preserve">, reglamentación técnico-sanitaria de grasas comestibles y margarinas.</w:t>
      </w:r>
    </w:p>
    <w:p>
      <w:pPr>
        <w:numPr>
          <w:ilvl w:val="0"/>
          <w:numId w:val="1"/>
        </w:numPr>
        <w:jc w:val="both"/>
        <w:rPr>
          <w:rFonts w:ascii="Cambria" w:hAnsi="Cambria"/>
        </w:rPr>
      </w:pPr>
      <w:r>
        <w:rPr>
          <w:rFonts w:ascii="Cambria" w:hAnsi="Cambria"/>
          <w:b/>
          <w:bCs/>
        </w:rPr>
        <w:t xml:space="preserve">Productos de la pesca y acuicultura</w:t>
      </w:r>
      <w:r>
        <w:rPr>
          <w:rFonts w:ascii="Cambria" w:hAnsi="Cambria"/>
        </w:rPr>
        <w:t xml:space="preserve">: </w:t>
      </w:r>
      <w:r>
        <w:rPr>
          <w:rFonts w:ascii="Cambria" w:hAnsi="Cambria"/>
          <w:b/>
          <w:bCs/>
        </w:rPr>
        <w:t xml:space="preserve">Reglamento (UE) 1379/2013</w:t>
      </w:r>
      <w:r>
        <w:rPr>
          <w:rFonts w:ascii="Cambria" w:hAnsi="Cambria"/>
        </w:rPr>
        <w:t xml:space="preserve"> (Capítulo I), para los capítulos 03 y 16 del Sistema Armonizado. Normas específicas:</w:t>
      </w:r>
    </w:p>
    <w:p>
      <w:pPr>
        <w:numPr>
          <w:ilvl w:val="1"/>
          <w:numId w:val="1"/>
        </w:numPr>
        <w:jc w:val="both"/>
        <w:rPr>
          <w:rFonts w:ascii="Cambria" w:hAnsi="Cambria"/>
        </w:rPr>
      </w:pPr>
      <w:r>
        <w:rPr>
          <w:rFonts w:ascii="Cambria" w:hAnsi="Cambria"/>
          <w:b/>
          <w:bCs/>
        </w:rPr>
        <w:t xml:space="preserve">Reglamento (CEE) 1536/92</w:t>
      </w:r>
      <w:r>
        <w:rPr>
          <w:rFonts w:ascii="Cambria" w:hAnsi="Cambria"/>
        </w:rPr>
        <w:t xml:space="preserve">, normas comunes para conservas de atún y bonito.</w:t>
      </w:r>
    </w:p>
    <w:p>
      <w:pPr>
        <w:numPr>
          <w:ilvl w:val="1"/>
          <w:numId w:val="1"/>
        </w:numPr>
        <w:jc w:val="both"/>
        <w:rPr>
          <w:rFonts w:ascii="Cambria" w:hAnsi="Cambria"/>
        </w:rPr>
      </w:pPr>
      <w:r>
        <w:rPr>
          <w:rFonts w:ascii="Cambria" w:hAnsi="Cambria"/>
          <w:b/>
          <w:bCs/>
        </w:rPr>
        <w:t xml:space="preserve">Reglamento (CE) 2406/96</w:t>
      </w:r>
      <w:r>
        <w:rPr>
          <w:rFonts w:ascii="Cambria" w:hAnsi="Cambria"/>
        </w:rPr>
        <w:t xml:space="preserve">, normas comunes para determinados productos pesqueros.</w:t>
      </w:r>
    </w:p>
    <w:p>
      <w:pPr>
        <w:numPr>
          <w:ilvl w:val="1"/>
          <w:numId w:val="1"/>
        </w:numPr>
        <w:jc w:val="both"/>
        <w:rPr>
          <w:rFonts w:ascii="Cambria" w:hAnsi="Cambria"/>
        </w:rPr>
      </w:pPr>
      <w:r>
        <w:rPr>
          <w:rFonts w:ascii="Cambria" w:hAnsi="Cambria"/>
          <w:b/>
          <w:bCs/>
        </w:rPr>
        <w:t xml:space="preserve">Reglamento (CE) 1181/2003</w:t>
      </w:r>
      <w:r>
        <w:rPr>
          <w:rFonts w:ascii="Cambria" w:hAnsi="Cambria"/>
        </w:rPr>
        <w:t xml:space="preserve">, normas comunes para conservas de sardinas, resultado de una denuncia de Perú ante la OMC por disconformidad con la norma CODEX homóloga.</w:t>
      </w:r>
    </w:p>
    <w:p>
      <w:pPr>
        <w:pStyle w:val="Ttulo1"/>
        <w:jc w:val="both"/>
        <w:rPr>
          <w:rFonts w:ascii="Cambria" w:hAnsi="Cambria"/>
          <w:b/>
          <w:bCs/>
          <w:color w:val="auto"/>
          <w:sz w:val="28"/>
          <w:szCs w:val="28"/>
        </w:rPr>
      </w:pPr>
      <w:r>
        <w:rPr>
          <w:rFonts w:ascii="Cambria" w:hAnsi="Cambria"/>
          <w:b/>
          <w:bCs/>
          <w:color w:val="auto"/>
          <w:sz w:val="28"/>
          <w:szCs w:val="28"/>
        </w:rPr>
        <w:t xml:space="preserve">4. NORMALIZACIÓN EN EL ÁMBITO INDUSTRIAL</w:t>
      </w:r>
    </w:p>
    <w:p>
      <w:pPr>
        <w:numPr>
          <w:ilvl w:val="0"/>
          <w:numId w:val="1"/>
        </w:numPr>
        <w:jc w:val="both"/>
        <w:rPr>
          <w:rFonts w:ascii="Cambria" w:hAnsi="Cambria"/>
        </w:rPr>
      </w:pPr>
      <w:r>
        <w:rPr>
          <w:rFonts w:ascii="Cambria" w:hAnsi="Cambria"/>
        </w:rPr>
        <w:t xml:space="preserve">Dos vías de armonización legislativa:</w:t>
      </w:r>
    </w:p>
    <w:p>
      <w:pPr>
        <w:numPr>
          <w:ilvl w:val="1"/>
          <w:numId w:val="1"/>
        </w:numPr>
        <w:jc w:val="both"/>
        <w:rPr>
          <w:rFonts w:ascii="Cambria" w:hAnsi="Cambria"/>
        </w:rPr>
      </w:pPr>
      <w:r>
        <w:rPr>
          <w:rFonts w:ascii="Cambria" w:hAnsi="Cambria"/>
          <w:b/>
          <w:bCs/>
        </w:rPr>
        <w:t xml:space="preserve">Antiguo Enfoque</w:t>
      </w:r>
      <w:r>
        <w:rPr>
          <w:rFonts w:ascii="Cambria" w:hAnsi="Cambria"/>
        </w:rPr>
        <w:t xml:space="preserve">: reglamentación pormenorizada de todos los requisitos de un producto.</w:t>
      </w:r>
    </w:p>
    <w:p>
      <w:pPr>
        <w:numPr>
          <w:ilvl w:val="1"/>
          <w:numId w:val="1"/>
        </w:numPr>
        <w:jc w:val="both"/>
        <w:rPr>
          <w:rFonts w:ascii="Cambria" w:hAnsi="Cambria"/>
        </w:rPr>
      </w:pPr>
      <w:r>
        <w:rPr>
          <w:rFonts w:ascii="Cambria" w:hAnsi="Cambria"/>
          <w:b/>
          <w:bCs/>
        </w:rPr>
        <w:t xml:space="preserve">Nuevo Enfoque</w:t>
      </w:r>
      <w:r>
        <w:rPr>
          <w:rFonts w:ascii="Cambria" w:hAnsi="Cambria"/>
        </w:rPr>
        <w:t xml:space="preserve">: armonización solo de requisitos esenciales, con normas armonizadas de referencia voluntaria.</w:t>
      </w:r>
    </w:p>
    <w:p>
      <w:pPr>
        <w:numPr>
          <w:ilvl w:val="0"/>
          <w:numId w:val="1"/>
        </w:numPr>
        <w:jc w:val="both"/>
        <w:rPr>
          <w:rFonts w:ascii="Cambria" w:hAnsi="Cambria"/>
        </w:rPr>
      </w:pPr>
      <w:r>
        <w:rPr>
          <w:rFonts w:ascii="Cambria" w:hAnsi="Cambria"/>
        </w:rPr>
        <w:t xml:space="preserve">La UE aplica el Antiguo Enfoque en alimentos, piensos, cosméticos y medicamentos, y el Nuevo Enfoque en productos industriales.</w:t>
      </w:r>
    </w:p>
    <w:p>
      <w:pPr>
        <w:pStyle w:val="Ttulo2"/>
        <w:jc w:val="both"/>
        <w:rPr>
          <w:rFonts w:ascii="Cambria" w:hAnsi="Cambria"/>
          <w:b/>
          <w:bCs/>
          <w:color w:val="auto"/>
          <w:sz w:val="24"/>
          <w:szCs w:val="24"/>
        </w:rPr>
      </w:pPr>
      <w:r>
        <w:rPr>
          <w:rFonts w:ascii="Cambria" w:hAnsi="Cambria"/>
          <w:b/>
          <w:bCs/>
          <w:color w:val="auto"/>
          <w:sz w:val="24"/>
          <w:szCs w:val="24"/>
        </w:rPr>
        <w:t xml:space="preserve">4.1. Antiguo Enfoque</w:t>
      </w:r>
    </w:p>
    <w:p>
      <w:pPr>
        <w:numPr>
          <w:ilvl w:val="0"/>
          <w:numId w:val="1"/>
        </w:numPr>
        <w:jc w:val="both"/>
        <w:rPr>
          <w:rFonts w:ascii="Cambria" w:hAnsi="Cambria"/>
        </w:rPr>
      </w:pPr>
      <w:r>
        <w:rPr>
          <w:rFonts w:ascii="Cambria" w:hAnsi="Cambria"/>
        </w:rPr>
        <w:t xml:space="preserve">Objetivo de una norma única y detallada por producto o grupo de productos, mediante Directivas del Consejo.</w:t>
      </w:r>
    </w:p>
    <w:p>
      <w:pPr>
        <w:numPr>
          <w:ilvl w:val="0"/>
          <w:numId w:val="1"/>
        </w:numPr>
        <w:jc w:val="both"/>
        <w:rPr>
          <w:rFonts w:ascii="Cambria" w:hAnsi="Cambria"/>
        </w:rPr>
      </w:pPr>
      <w:r>
        <w:rPr>
          <w:rFonts w:ascii="Cambria" w:hAnsi="Cambria"/>
        </w:rPr>
        <w:t xml:space="preserve">Se aplicó a vehículos de motor, productos químicos, farmacéuticos, cosméticos, metrología legal, envasado, textiles, calzado y cristal.</w:t>
      </w:r>
    </w:p>
    <w:p>
      <w:pPr>
        <w:numPr>
          <w:ilvl w:val="0"/>
          <w:numId w:val="1"/>
        </w:numPr>
        <w:jc w:val="both"/>
        <w:rPr>
          <w:rFonts w:ascii="Cambria" w:hAnsi="Cambria"/>
        </w:rPr>
      </w:pPr>
      <w:r>
        <w:rPr>
          <w:rFonts w:ascii="Cambria" w:hAnsi="Cambria"/>
        </w:rPr>
        <w:t xml:space="preserve">Ejemplo: </w:t>
      </w:r>
      <w:r>
        <w:rPr>
          <w:rFonts w:ascii="Cambria" w:hAnsi="Cambria"/>
          <w:b/>
          <w:bCs/>
        </w:rPr>
        <w:t xml:space="preserve">Directiva 70/220/CEE</w:t>
      </w:r>
      <w:r>
        <w:rPr>
          <w:rFonts w:ascii="Cambria" w:hAnsi="Cambria"/>
        </w:rPr>
        <w:t xml:space="preserve">, sobre contaminación del aire por gases de motores de vehículos.</w:t>
      </w:r>
    </w:p>
    <w:p>
      <w:pPr>
        <w:numPr>
          <w:ilvl w:val="0"/>
          <w:numId w:val="1"/>
        </w:numPr>
        <w:jc w:val="both"/>
        <w:rPr>
          <w:rFonts w:ascii="Cambria" w:hAnsi="Cambria"/>
        </w:rPr>
      </w:pPr>
      <w:r>
        <w:rPr>
          <w:rFonts w:ascii="Cambria" w:hAnsi="Cambria"/>
        </w:rPr>
        <w:t xml:space="preserve">Proceso lento por su carácter muy técnico y por exigir unanimidad del Consejo.</w:t>
      </w:r>
    </w:p>
    <w:p>
      <w:pPr>
        <w:pStyle w:val="Ttulo2"/>
        <w:jc w:val="both"/>
        <w:rPr>
          <w:rFonts w:ascii="Cambria" w:hAnsi="Cambria"/>
          <w:b/>
          <w:bCs/>
          <w:color w:val="auto"/>
          <w:sz w:val="24"/>
          <w:szCs w:val="24"/>
        </w:rPr>
      </w:pPr>
      <w:r>
        <w:rPr>
          <w:rFonts w:ascii="Cambria" w:hAnsi="Cambria"/>
          <w:b/>
          <w:bCs/>
          <w:color w:val="auto"/>
          <w:sz w:val="24"/>
          <w:szCs w:val="24"/>
        </w:rPr>
        <w:t xml:space="preserve">4.2. Nuevo Enfoque</w:t>
      </w:r>
    </w:p>
    <w:p>
      <w:pPr>
        <w:numPr>
          <w:ilvl w:val="0"/>
          <w:numId w:val="1"/>
        </w:numPr>
        <w:jc w:val="both"/>
        <w:rPr>
          <w:rFonts w:ascii="Cambria" w:hAnsi="Cambria"/>
        </w:rPr>
      </w:pPr>
      <w:r>
        <w:rPr>
          <w:rFonts w:ascii="Cambria" w:hAnsi="Cambria"/>
        </w:rPr>
        <w:t xml:space="preserve">Sus comienzos se remontan a la </w:t>
      </w:r>
      <w:r>
        <w:rPr>
          <w:rFonts w:ascii="Cambria" w:hAnsi="Cambria"/>
          <w:b/>
          <w:bCs/>
        </w:rPr>
        <w:t xml:space="preserve">Resolución del Consejo de 7 de mayo de 1985</w:t>
      </w:r>
      <w:r>
        <w:rPr>
          <w:rFonts w:ascii="Cambria" w:hAnsi="Cambria"/>
        </w:rPr>
        <w:t xml:space="preserve">, relacionada con la sentencia </w:t>
      </w:r>
      <w:r>
        <w:rPr>
          <w:rFonts w:ascii="Cambria" w:hAnsi="Cambria"/>
          <w:b/>
          <w:bCs/>
        </w:rPr>
        <w:t xml:space="preserve">Cassis de Dijon</w:t>
      </w:r>
      <w:r>
        <w:rPr>
          <w:rFonts w:ascii="Cambria" w:hAnsi="Cambria"/>
        </w:rPr>
        <w:t xml:space="preserve"> del TJUE, de 20 de febrero de 1979.</w:t>
      </w:r>
    </w:p>
    <w:p>
      <w:pPr>
        <w:numPr>
          <w:ilvl w:val="0"/>
          <w:numId w:val="1"/>
        </w:numPr>
        <w:jc w:val="both"/>
        <w:rPr>
          <w:rFonts w:ascii="Cambria" w:hAnsi="Cambria"/>
        </w:rPr>
      </w:pPr>
      <w:r>
        <w:rPr>
          <w:rFonts w:ascii="Cambria" w:hAnsi="Cambria"/>
        </w:rPr>
        <w:t xml:space="preserve">Solo se señalan exigencias esenciales de seguridad, con mayor libertad y flexibilidad para el fabricante.</w:t>
      </w:r>
    </w:p>
    <w:p>
      <w:pPr>
        <w:numPr>
          <w:ilvl w:val="0"/>
          <w:numId w:val="1"/>
        </w:numPr>
        <w:jc w:val="both"/>
        <w:rPr>
          <w:rFonts w:ascii="Cambria" w:hAnsi="Cambria"/>
        </w:rPr>
      </w:pPr>
      <w:r>
        <w:rPr>
          <w:rFonts w:ascii="Cambria" w:hAnsi="Cambria"/>
        </w:rPr>
        <w:t xml:space="preserve">Apoyo de los organismos de normalización </w:t>
      </w:r>
      <w:r>
        <w:rPr>
          <w:rFonts w:ascii="Cambria" w:hAnsi="Cambria"/>
          <w:b/>
          <w:bCs/>
        </w:rPr>
        <w:t xml:space="preserve">CEN</w:t>
      </w:r>
      <w:r>
        <w:rPr>
          <w:rFonts w:ascii="Cambria" w:hAnsi="Cambria"/>
        </w:rPr>
        <w:t xml:space="preserve">, </w:t>
      </w:r>
      <w:r>
        <w:rPr>
          <w:rFonts w:ascii="Cambria" w:hAnsi="Cambria"/>
          <w:b/>
          <w:bCs/>
        </w:rPr>
        <w:t xml:space="preserve">CENELEC</w:t>
      </w:r>
      <w:r>
        <w:rPr>
          <w:rFonts w:ascii="Cambria" w:hAnsi="Cambria"/>
        </w:rPr>
        <w:t xml:space="preserve"> y </w:t>
      </w:r>
      <w:r>
        <w:rPr>
          <w:rFonts w:ascii="Cambria" w:hAnsi="Cambria"/>
          <w:b/>
          <w:bCs/>
        </w:rPr>
        <w:t xml:space="preserve">ETSI</w:t>
      </w:r>
      <w:r>
        <w:rPr>
          <w:rFonts w:ascii="Cambria" w:hAnsi="Cambria"/>
        </w:rPr>
        <w:t xml:space="preserve">.</w:t>
      </w:r>
    </w:p>
    <w:p>
      <w:pPr>
        <w:numPr>
          <w:ilvl w:val="0"/>
          <w:numId w:val="1"/>
        </w:numPr>
        <w:jc w:val="both"/>
        <w:rPr>
          <w:rFonts w:ascii="Cambria" w:hAnsi="Cambria"/>
        </w:rPr>
      </w:pPr>
      <w:r>
        <w:rPr>
          <w:rFonts w:ascii="Cambria" w:hAnsi="Cambria"/>
          <w:b/>
          <w:bCs/>
        </w:rPr>
        <w:t xml:space="preserve">Paquete Ayral</w:t>
      </w:r>
      <w:r>
        <w:rPr>
          <w:rFonts w:ascii="Cambria" w:hAnsi="Cambria"/>
        </w:rPr>
        <w:t xml:space="preserve"> (9 de julio de 2008): el </w:t>
      </w:r>
      <w:r>
        <w:rPr>
          <w:rFonts w:ascii="Cambria" w:hAnsi="Cambria"/>
          <w:b/>
          <w:bCs/>
        </w:rPr>
        <w:t xml:space="preserve">Reglamento (UE) 2019/515</w:t>
      </w:r>
      <w:r>
        <w:rPr>
          <w:rFonts w:ascii="Cambria" w:hAnsi="Cambria"/>
        </w:rPr>
        <w:t xml:space="preserve">, el </w:t>
      </w:r>
      <w:r>
        <w:rPr>
          <w:rFonts w:ascii="Cambria" w:hAnsi="Cambria"/>
          <w:b/>
          <w:bCs/>
        </w:rPr>
        <w:t xml:space="preserve">Reglamento (CE) 765/2008</w:t>
      </w:r>
      <w:r>
        <w:rPr>
          <w:rFonts w:ascii="Cambria" w:hAnsi="Cambria"/>
        </w:rPr>
        <w:t xml:space="preserve"> y la </w:t>
      </w:r>
      <w:r>
        <w:rPr>
          <w:rFonts w:ascii="Cambria" w:hAnsi="Cambria"/>
          <w:b/>
          <w:bCs/>
        </w:rPr>
        <w:t xml:space="preserve">Decisión 768/2008/CE</w:t>
      </w:r>
      <w:r>
        <w:rPr>
          <w:rFonts w:ascii="Cambria" w:hAnsi="Cambria"/>
        </w:rPr>
        <w:t xml:space="preserve">, que conforman el </w:t>
      </w:r>
      <w:r>
        <w:rPr>
          <w:rFonts w:ascii="Cambria" w:hAnsi="Cambria"/>
          <w:b/>
          <w:bCs/>
        </w:rPr>
        <w:t xml:space="preserve">Nuevo Marco Legislativo (NML)</w:t>
      </w:r>
      <w:r>
        <w:rPr>
          <w:rFonts w:ascii="Cambria" w:hAnsi="Cambria"/>
        </w:rPr>
        <w:t xml:space="preserve">.</w:t>
      </w:r>
    </w:p>
    <w:p>
      <w:pPr>
        <w:numPr>
          <w:ilvl w:val="0"/>
          <w:numId w:val="1"/>
        </w:numPr>
        <w:jc w:val="both"/>
        <w:rPr>
          <w:rFonts w:ascii="Cambria" w:hAnsi="Cambria"/>
        </w:rPr>
      </w:pPr>
      <w:r>
        <w:rPr>
          <w:rFonts w:ascii="Cambria" w:hAnsi="Cambria"/>
        </w:rPr>
        <w:t xml:space="preserve">El Reglamento (CE) 765/2008 estableció la base jurídica de la acreditación y el marcado CE. Sus disposiciones de vigilancia del mercado fueron sustituidas por el </w:t>
      </w:r>
      <w:r>
        <w:rPr>
          <w:rFonts w:ascii="Cambria" w:hAnsi="Cambria"/>
          <w:b/>
          <w:bCs/>
        </w:rPr>
        <w:t xml:space="preserve">Reglamento (UE) 2019/1020</w:t>
      </w:r>
      <w:r>
        <w:rPr>
          <w:rFonts w:ascii="Cambria" w:hAnsi="Cambria"/>
        </w:rPr>
        <w:t xml:space="preserve">, complementado por el </w:t>
      </w:r>
      <w:r>
        <w:rPr>
          <w:rFonts w:ascii="Cambria" w:hAnsi="Cambria"/>
          <w:b/>
          <w:bCs/>
        </w:rPr>
        <w:t xml:space="preserve">Reglamento (UE) 2023/988</w:t>
      </w:r>
      <w:r>
        <w:rPr>
          <w:rFonts w:ascii="Cambria" w:hAnsi="Cambria"/>
        </w:rPr>
        <w:t xml:space="preserve"> de Seguridad General de los Productos.</w:t>
      </w:r>
    </w:p>
    <w:p>
      <w:pPr>
        <w:pStyle w:val="Ttulo2"/>
        <w:jc w:val="both"/>
        <w:rPr>
          <w:rFonts w:ascii="Cambria" w:hAnsi="Cambria"/>
          <w:b/>
          <w:bCs/>
          <w:color w:val="auto"/>
          <w:sz w:val="24"/>
          <w:szCs w:val="24"/>
        </w:rPr>
      </w:pPr>
      <w:r>
        <w:rPr>
          <w:rFonts w:ascii="Cambria" w:hAnsi="Cambria"/>
          <w:b/>
          <w:bCs/>
          <w:color w:val="auto"/>
          <w:sz w:val="24"/>
          <w:szCs w:val="24"/>
        </w:rPr>
        <w:t xml:space="preserve">4.3. Normas armonizadas</w:t>
      </w:r>
    </w:p>
    <w:p>
      <w:pPr>
        <w:numPr>
          <w:ilvl w:val="0"/>
          <w:numId w:val="1"/>
        </w:numPr>
        <w:jc w:val="both"/>
        <w:rPr>
          <w:rFonts w:ascii="Cambria" w:hAnsi="Cambria"/>
        </w:rPr>
      </w:pPr>
      <w:r>
        <w:rPr>
          <w:rFonts w:ascii="Cambria" w:hAnsi="Cambria"/>
          <w:b/>
          <w:bCs/>
        </w:rPr>
        <w:t xml:space="preserve">Norma Armonizada</w:t>
      </w:r>
      <w:r>
        <w:rPr>
          <w:rFonts w:ascii="Cambria" w:hAnsi="Cambria"/>
        </w:rPr>
        <w:t xml:space="preserve">: norma europea adoptada a petición (mandato) de la Comisión para aplicar la legislación de armonización de la UE, según el </w:t>
      </w:r>
      <w:r>
        <w:rPr>
          <w:rFonts w:ascii="Cambria" w:hAnsi="Cambria"/>
          <w:b/>
          <w:bCs/>
        </w:rPr>
        <w:t xml:space="preserve">Reglamento (UE) 1025/2012</w:t>
      </w:r>
      <w:r>
        <w:rPr>
          <w:rFonts w:ascii="Cambria" w:hAnsi="Cambria"/>
        </w:rPr>
        <w:t xml:space="preserve">, que modifica la Directiva 98/34/CE.</w:t>
      </w:r>
    </w:p>
    <w:p>
      <w:pPr>
        <w:numPr>
          <w:ilvl w:val="0"/>
          <w:numId w:val="1"/>
        </w:numPr>
        <w:jc w:val="both"/>
        <w:rPr>
          <w:rFonts w:ascii="Cambria" w:hAnsi="Cambria"/>
        </w:rPr>
      </w:pPr>
      <w:r>
        <w:rPr>
          <w:rFonts w:ascii="Cambria" w:hAnsi="Cambria"/>
        </w:rPr>
        <w:t xml:space="preserve">No tienen carácter obligatorio, pero su seguimiento presupone la conformidad del producto con la Directiva de Nuevo Enfoque correspondiente.</w:t>
      </w:r>
    </w:p>
    <w:p>
      <w:pPr>
        <w:numPr>
          <w:ilvl w:val="0"/>
          <w:numId w:val="1"/>
        </w:numPr>
        <w:jc w:val="both"/>
        <w:rPr>
          <w:rFonts w:ascii="Cambria" w:hAnsi="Cambria"/>
        </w:rPr>
      </w:pPr>
      <w:r>
        <w:rPr>
          <w:rFonts w:ascii="Cambria" w:hAnsi="Cambria"/>
          <w:b/>
          <w:bCs/>
        </w:rPr>
        <w:t xml:space="preserve">Norma Europea</w:t>
      </w:r>
      <w:r>
        <w:rPr>
          <w:rFonts w:ascii="Cambria" w:hAnsi="Cambria"/>
        </w:rPr>
        <w:t xml:space="preserve">: especificación técnica elaborada por CEN, CENELEC o ETSI, de cumplimiento no obligatorio, que debe transponerse a escala nacional.</w:t>
      </w:r>
    </w:p>
    <w:p>
      <w:pPr>
        <w:numPr>
          <w:ilvl w:val="0"/>
          <w:numId w:val="1"/>
        </w:numPr>
        <w:jc w:val="both"/>
        <w:rPr>
          <w:rFonts w:ascii="Cambria" w:hAnsi="Cambria"/>
        </w:rPr>
      </w:pPr>
      <w:r>
        <w:rPr>
          <w:rFonts w:ascii="Cambria" w:hAnsi="Cambria"/>
        </w:rPr>
        <w:t xml:space="preserve">Procedimiento de elaboración:</w:t>
      </w:r>
    </w:p>
    <w:p>
      <w:pPr>
        <w:numPr>
          <w:ilvl w:val="1"/>
          <w:numId w:val="1"/>
        </w:numPr>
        <w:jc w:val="both"/>
        <w:rPr>
          <w:rFonts w:ascii="Cambria" w:hAnsi="Cambria"/>
        </w:rPr>
      </w:pPr>
      <w:r>
        <w:rPr>
          <w:rFonts w:ascii="Cambria" w:hAnsi="Cambria"/>
          <w:b/>
          <w:bCs/>
        </w:rPr>
        <w:t xml:space="preserve">Emisión del mandato</w:t>
      </w:r>
      <w:r>
        <w:rPr>
          <w:rFonts w:ascii="Cambria" w:hAnsi="Cambria"/>
        </w:rPr>
        <w:t xml:space="preserve"> por la Comisión.</w:t>
      </w:r>
    </w:p>
    <w:p>
      <w:pPr>
        <w:numPr>
          <w:ilvl w:val="1"/>
          <w:numId w:val="1"/>
        </w:numPr>
        <w:jc w:val="both"/>
        <w:rPr>
          <w:rFonts w:ascii="Cambria" w:hAnsi="Cambria"/>
        </w:rPr>
      </w:pPr>
      <w:r>
        <w:rPr>
          <w:rFonts w:ascii="Cambria" w:hAnsi="Cambria"/>
          <w:b/>
          <w:bCs/>
        </w:rPr>
        <w:t xml:space="preserve">Aceptación del mandato</w:t>
      </w:r>
      <w:r>
        <w:rPr>
          <w:rFonts w:ascii="Cambria" w:hAnsi="Cambria"/>
        </w:rPr>
        <w:t xml:space="preserve"> por los organismos de normalización.</w:t>
      </w:r>
    </w:p>
    <w:p>
      <w:pPr>
        <w:numPr>
          <w:ilvl w:val="1"/>
          <w:numId w:val="1"/>
        </w:numPr>
        <w:jc w:val="both"/>
        <w:rPr>
          <w:rFonts w:ascii="Cambria" w:hAnsi="Cambria"/>
        </w:rPr>
      </w:pPr>
      <w:r>
        <w:rPr>
          <w:rFonts w:ascii="Cambria" w:hAnsi="Cambria"/>
          <w:b/>
          <w:bCs/>
        </w:rPr>
        <w:t xml:space="preserve">Elaboración de la norma</w:t>
      </w:r>
      <w:r>
        <w:rPr>
          <w:rFonts w:ascii="Cambria" w:hAnsi="Cambria"/>
        </w:rPr>
        <w:t xml:space="preserve"> por el Comité Técnico correspondiente.</w:t>
      </w:r>
    </w:p>
    <w:p>
      <w:pPr>
        <w:numPr>
          <w:ilvl w:val="1"/>
          <w:numId w:val="1"/>
        </w:numPr>
        <w:jc w:val="both"/>
        <w:rPr>
          <w:rFonts w:ascii="Cambria" w:hAnsi="Cambria"/>
        </w:rPr>
      </w:pPr>
      <w:r>
        <w:rPr>
          <w:rFonts w:ascii="Cambria" w:hAnsi="Cambria"/>
          <w:b/>
          <w:bCs/>
        </w:rPr>
        <w:t xml:space="preserve">Consulta pública</w:t>
      </w:r>
      <w:r>
        <w:rPr>
          <w:rFonts w:ascii="Cambria" w:hAnsi="Cambria"/>
        </w:rPr>
        <w:t xml:space="preserve"> del proyecto.</w:t>
      </w:r>
    </w:p>
    <w:p>
      <w:pPr>
        <w:numPr>
          <w:ilvl w:val="1"/>
          <w:numId w:val="1"/>
        </w:numPr>
        <w:jc w:val="both"/>
        <w:rPr>
          <w:rFonts w:ascii="Cambria" w:hAnsi="Cambria"/>
        </w:rPr>
      </w:pPr>
      <w:r>
        <w:rPr>
          <w:rFonts w:ascii="Cambria" w:hAnsi="Cambria"/>
          <w:b/>
          <w:bCs/>
        </w:rPr>
        <w:t xml:space="preserve">Votación</w:t>
      </w:r>
      <w:r>
        <w:rPr>
          <w:rFonts w:ascii="Cambria" w:hAnsi="Cambria"/>
        </w:rPr>
        <w:t xml:space="preserve"> de los organismos nacionales y ratificación por los europeos.</w:t>
      </w:r>
    </w:p>
    <w:p>
      <w:pPr>
        <w:numPr>
          <w:ilvl w:val="1"/>
          <w:numId w:val="1"/>
        </w:numPr>
        <w:jc w:val="both"/>
        <w:rPr>
          <w:rFonts w:ascii="Cambria" w:hAnsi="Cambria"/>
        </w:rPr>
      </w:pPr>
      <w:r>
        <w:rPr>
          <w:rFonts w:ascii="Cambria" w:hAnsi="Cambria"/>
          <w:b/>
          <w:bCs/>
        </w:rPr>
        <w:t xml:space="preserve">Evaluación y publicación</w:t>
      </w:r>
      <w:r>
        <w:rPr>
          <w:rFonts w:ascii="Cambria" w:hAnsi="Cambria"/>
        </w:rPr>
        <w:t xml:space="preserve"> por la Comisión en el </w:t>
      </w:r>
      <w:r>
        <w:rPr>
          <w:rFonts w:ascii="Cambria" w:hAnsi="Cambria"/>
          <w:b/>
          <w:bCs/>
        </w:rPr>
        <w:t xml:space="preserve">DOUE</w:t>
      </w:r>
      <w:r>
        <w:rPr>
          <w:rFonts w:ascii="Cambria" w:hAnsi="Cambria"/>
        </w:rPr>
        <w:t xml:space="preserve">, momento en que adquiere presunción de conformidad.</w:t>
      </w:r>
    </w:p>
    <w:p>
      <w:pPr>
        <w:numPr>
          <w:ilvl w:val="1"/>
          <w:numId w:val="1"/>
        </w:numPr>
        <w:jc w:val="both"/>
        <w:rPr>
          <w:rFonts w:ascii="Cambria" w:hAnsi="Cambria"/>
        </w:rPr>
      </w:pPr>
      <w:r>
        <w:rPr>
          <w:rFonts w:ascii="Cambria" w:hAnsi="Cambria"/>
          <w:b/>
          <w:bCs/>
        </w:rPr>
        <w:t xml:space="preserve">Transposición y publicación nacional</w:t>
      </w:r>
      <w:r>
        <w:rPr>
          <w:rFonts w:ascii="Cambria" w:hAnsi="Cambria"/>
        </w:rPr>
        <w:t xml:space="preserve"> (en España, </w:t>
      </w:r>
      <w:r>
        <w:rPr>
          <w:rFonts w:ascii="Cambria" w:hAnsi="Cambria"/>
          <w:b/>
          <w:bCs/>
        </w:rPr>
        <w:t xml:space="preserve">UNE</w:t>
      </w:r>
      <w:r>
        <w:rPr>
          <w:rFonts w:ascii="Cambria" w:hAnsi="Cambria"/>
        </w:rPr>
        <w:t xml:space="preserve">).</w:t>
      </w:r>
    </w:p>
    <w:p>
      <w:pPr>
        <w:pStyle w:val="Ttulo2"/>
        <w:jc w:val="both"/>
        <w:rPr>
          <w:rFonts w:ascii="Cambria" w:hAnsi="Cambria"/>
          <w:b/>
          <w:bCs/>
          <w:color w:val="auto"/>
          <w:sz w:val="24"/>
          <w:szCs w:val="24"/>
        </w:rPr>
      </w:pPr>
      <w:r>
        <w:rPr>
          <w:rFonts w:ascii="Cambria" w:hAnsi="Cambria"/>
          <w:b/>
          <w:bCs/>
          <w:color w:val="auto"/>
          <w:sz w:val="24"/>
          <w:szCs w:val="24"/>
        </w:rPr>
        <w:t xml:space="preserve">4.4. Evaluación de la conformidad</w:t>
      </w:r>
    </w:p>
    <w:p>
      <w:pPr>
        <w:numPr>
          <w:ilvl w:val="0"/>
          <w:numId w:val="1"/>
        </w:numPr>
        <w:jc w:val="both"/>
        <w:rPr>
          <w:rFonts w:ascii="Cambria" w:hAnsi="Cambria"/>
        </w:rPr>
      </w:pPr>
      <w:r>
        <w:rPr>
          <w:rFonts w:ascii="Cambria" w:hAnsi="Cambria"/>
        </w:rPr>
        <w:t xml:space="preserve">Actividad para determinar si un producto cumple los requisitos especificados antes de su comercialización.</w:t>
      </w:r>
    </w:p>
    <w:p>
      <w:pPr>
        <w:numPr>
          <w:ilvl w:val="0"/>
          <w:numId w:val="1"/>
        </w:numPr>
        <w:jc w:val="both"/>
        <w:rPr>
          <w:rFonts w:ascii="Cambria" w:hAnsi="Cambria"/>
        </w:rPr>
      </w:pPr>
      <w:r>
        <w:rPr>
          <w:rFonts w:ascii="Cambria" w:hAnsi="Cambria"/>
        </w:rPr>
        <w:t xml:space="preserve">Elementos básicos: normas o especificaciones técnicas, inspección, ensayo y seguimiento en el tiempo.</w:t>
      </w:r>
    </w:p>
    <w:p>
      <w:pPr>
        <w:numPr>
          <w:ilvl w:val="0"/>
          <w:numId w:val="1"/>
        </w:numPr>
        <w:jc w:val="both"/>
        <w:rPr>
          <w:rFonts w:ascii="Cambria" w:hAnsi="Cambria"/>
        </w:rPr>
      </w:pPr>
      <w:r>
        <w:rPr>
          <w:rFonts w:ascii="Cambria" w:hAnsi="Cambria"/>
        </w:rPr>
        <w:t xml:space="preserve">Sistemas de evaluación:</w:t>
      </w:r>
    </w:p>
    <w:p>
      <w:pPr>
        <w:numPr>
          <w:ilvl w:val="1"/>
          <w:numId w:val="1"/>
        </w:numPr>
        <w:jc w:val="both"/>
        <w:rPr>
          <w:rFonts w:ascii="Cambria" w:hAnsi="Cambria"/>
        </w:rPr>
      </w:pPr>
      <w:r>
        <w:rPr>
          <w:rFonts w:ascii="Cambria" w:hAnsi="Cambria"/>
          <w:b/>
          <w:bCs/>
        </w:rPr>
        <w:t xml:space="preserve">De primera parte</w:t>
      </w:r>
      <w:r>
        <w:rPr>
          <w:rFonts w:ascii="Cambria" w:hAnsi="Cambria"/>
        </w:rPr>
        <w:t xml:space="preserve">: autocertificación del fabricante o proveedor.</w:t>
      </w:r>
    </w:p>
    <w:p>
      <w:pPr>
        <w:numPr>
          <w:ilvl w:val="1"/>
          <w:numId w:val="1"/>
        </w:numPr>
        <w:jc w:val="both"/>
        <w:rPr>
          <w:rFonts w:ascii="Cambria" w:hAnsi="Cambria"/>
        </w:rPr>
      </w:pPr>
      <w:r>
        <w:rPr>
          <w:rFonts w:ascii="Cambria" w:hAnsi="Cambria"/>
          <w:b/>
          <w:bCs/>
        </w:rPr>
        <w:t xml:space="preserve">De tercera parte</w:t>
      </w:r>
      <w:r>
        <w:rPr>
          <w:rFonts w:ascii="Cambria" w:hAnsi="Cambria"/>
        </w:rPr>
        <w:t xml:space="preserve">: evaluación por un </w:t>
      </w:r>
      <w:r>
        <w:rPr>
          <w:rFonts w:ascii="Cambria" w:hAnsi="Cambria"/>
          <w:b/>
          <w:bCs/>
        </w:rPr>
        <w:t xml:space="preserve">organismo notificado</w:t>
      </w:r>
      <w:r>
        <w:rPr>
          <w:rFonts w:ascii="Cambria" w:hAnsi="Cambria"/>
        </w:rPr>
        <w:t xml:space="preserve">, independiente de las partes.</w:t>
      </w:r>
    </w:p>
    <w:p>
      <w:pPr>
        <w:numPr>
          <w:ilvl w:val="0"/>
          <w:numId w:val="1"/>
        </w:numPr>
        <w:jc w:val="both"/>
        <w:rPr>
          <w:rFonts w:ascii="Cambria" w:hAnsi="Cambria"/>
        </w:rPr>
      </w:pPr>
      <w:r>
        <w:rPr>
          <w:rFonts w:ascii="Cambria" w:hAnsi="Cambria"/>
        </w:rPr>
        <w:t xml:space="preserve">El uso de normas armonizadas genera </w:t>
      </w:r>
      <w:r>
        <w:rPr>
          <w:rFonts w:ascii="Cambria" w:hAnsi="Cambria"/>
          <w:b/>
          <w:bCs/>
        </w:rPr>
        <w:t xml:space="preserve">presunción de conformidad</w:t>
      </w:r>
      <w:r>
        <w:rPr>
          <w:rFonts w:ascii="Cambria" w:hAnsi="Cambria"/>
        </w:rPr>
        <w:t xml:space="preserve">. En caso contrario, el fabricante debe aportar documentación y pruebas.</w:t>
      </w:r>
    </w:p>
    <w:p>
      <w:pPr>
        <w:pStyle w:val="Ttulo2"/>
        <w:jc w:val="both"/>
        <w:rPr>
          <w:rFonts w:ascii="Cambria" w:hAnsi="Cambria"/>
          <w:b/>
          <w:bCs/>
          <w:color w:val="auto"/>
          <w:sz w:val="24"/>
          <w:szCs w:val="24"/>
        </w:rPr>
      </w:pPr>
      <w:r>
        <w:rPr>
          <w:rFonts w:ascii="Cambria" w:hAnsi="Cambria"/>
          <w:b/>
          <w:bCs/>
          <w:color w:val="auto"/>
          <w:sz w:val="24"/>
          <w:szCs w:val="24"/>
        </w:rPr>
        <w:t xml:space="preserve">4.5. Marcado CE</w:t>
      </w:r>
    </w:p>
    <w:p>
      <w:pPr>
        <w:numPr>
          <w:ilvl w:val="0"/>
          <w:numId w:val="1"/>
        </w:numPr>
        <w:jc w:val="both"/>
        <w:rPr>
          <w:rFonts w:ascii="Cambria" w:hAnsi="Cambria"/>
        </w:rPr>
      </w:pPr>
      <w:r>
        <w:rPr>
          <w:rFonts w:ascii="Cambria" w:hAnsi="Cambria"/>
        </w:rPr>
        <w:t xml:space="preserve">Indica que el producto cumple los requisitos esenciales de las Directivas o Reglamentos aplicables y que se han superado los procedimientos de evaluación de la conformidad.</w:t>
      </w:r>
    </w:p>
    <w:p>
      <w:pPr>
        <w:numPr>
          <w:ilvl w:val="0"/>
          <w:numId w:val="1"/>
        </w:numPr>
        <w:jc w:val="both"/>
        <w:rPr>
          <w:rFonts w:ascii="Cambria" w:hAnsi="Cambria"/>
        </w:rPr>
      </w:pPr>
      <w:r>
        <w:rPr>
          <w:rFonts w:ascii="Cambria" w:hAnsi="Cambria"/>
        </w:rPr>
        <w:t xml:space="preserve">Es obligatorio cuando la normativa lo exige, y debe colocarse antes de la comercialización o puesta en servicio.</w:t>
      </w:r>
    </w:p>
    <w:p>
      <w:pPr>
        <w:numPr>
          <w:ilvl w:val="0"/>
          <w:numId w:val="1"/>
        </w:numPr>
        <w:jc w:val="both"/>
        <w:rPr>
          <w:rFonts w:ascii="Cambria" w:hAnsi="Cambria"/>
        </w:rPr>
      </w:pPr>
      <w:r>
        <w:rPr>
          <w:rFonts w:ascii="Cambria" w:hAnsi="Cambria"/>
        </w:rPr>
        <w:t xml:space="preserve">Si interviene un organismo notificado, el marcado debe ir seguido de su número de identificación.</w:t>
      </w:r>
    </w:p>
    <w:p>
      <w:pPr>
        <w:numPr>
          <w:ilvl w:val="0"/>
          <w:numId w:val="1"/>
        </w:numPr>
        <w:jc w:val="both"/>
        <w:rPr>
          <w:rFonts w:ascii="Cambria" w:hAnsi="Cambria"/>
        </w:rPr>
      </w:pPr>
      <w:r>
        <w:rPr>
          <w:rFonts w:ascii="Cambria" w:hAnsi="Cambria"/>
        </w:rPr>
        <w:t xml:space="preserve">Debe colocarse de forma visible, legible e indeleble en el producto o su placa de características, o en el embalaje y documentos de acompañamiento si no es posible.</w:t>
      </w:r>
    </w:p>
    <w:p>
      <w:pPr>
        <w:pStyle w:val="Ttulo1"/>
        <w:jc w:val="both"/>
        <w:rPr>
          <w:rFonts w:ascii="Cambria" w:hAnsi="Cambria"/>
          <w:b/>
          <w:bCs/>
          <w:color w:val="auto"/>
          <w:sz w:val="28"/>
          <w:szCs w:val="28"/>
        </w:rPr>
      </w:pPr>
      <w:r>
        <w:rPr>
          <w:rFonts w:ascii="Cambria" w:hAnsi="Cambria"/>
          <w:b/>
          <w:bCs/>
          <w:color w:val="auto"/>
          <w:sz w:val="28"/>
          <w:szCs w:val="28"/>
        </w:rPr>
        <w:t xml:space="preserve">5. CONCLUSIÓN</w:t>
      </w:r>
    </w:p>
    <w:p>
      <w:pPr>
        <w:numPr>
          <w:ilvl w:val="0"/>
          <w:numId w:val="1"/>
        </w:numPr>
        <w:jc w:val="both"/>
        <w:rPr>
          <w:rFonts w:ascii="Cambria" w:hAnsi="Cambria"/>
        </w:rPr>
      </w:pPr>
      <w:r>
        <w:rPr>
          <w:rFonts w:ascii="Cambria" w:hAnsi="Cambria"/>
        </w:rPr>
        <w:t xml:space="preserve">La normalización de la UE es un instrumento esencial del mercado interior, que combina armonización legislativa y reconocimiento mutuo.</w:t>
      </w:r>
    </w:p>
    <w:p>
      <w:pPr>
        <w:numPr>
          <w:ilvl w:val="0"/>
          <w:numId w:val="1"/>
        </w:numPr>
        <w:jc w:val="both"/>
        <w:rPr>
          <w:rFonts w:ascii="Cambria" w:hAnsi="Cambria"/>
        </w:rPr>
      </w:pPr>
      <w:r>
        <w:rPr>
          <w:rFonts w:ascii="Cambria" w:hAnsi="Cambria"/>
        </w:rPr>
        <w:t xml:space="preserve">En el ámbito agroalimentario, la integración en la OCM Única y la colaboración con la CEPE/NU garantizan coherencia con los estándares internacionales, actualizada por el Reglamento Delegado (UE) 2023/2429.</w:t>
      </w:r>
    </w:p>
    <w:p>
      <w:pPr>
        <w:numPr>
          <w:ilvl w:val="0"/>
          <w:numId w:val="1"/>
        </w:numPr>
        <w:jc w:val="both"/>
        <w:rPr>
          <w:rFonts w:ascii="Cambria" w:hAnsi="Cambria"/>
        </w:rPr>
      </w:pPr>
      <w:r>
        <w:rPr>
          <w:rFonts w:ascii="Cambria" w:hAnsi="Cambria"/>
        </w:rPr>
        <w:t xml:space="preserve">En el ámbito industrial, el Nuevo Enfoque sustituye la reglamentación detallada por requisitos esenciales de seguridad, apoyados en normas armonizadas, el Nuevo Marco Legislativo, la evaluación de la conformidad y el marcado CE.</w:t>
      </w:r>
    </w:p>
    <w:p>
      <w:pPr>
        <w:numPr>
          <w:ilvl w:val="0"/>
          <w:numId w:val="1"/>
        </w:numPr>
        <w:jc w:val="both"/>
        <w:rPr>
          <w:rFonts w:ascii="Cambria" w:hAnsi="Cambria"/>
        </w:rPr>
      </w:pPr>
      <w:r>
        <w:rPr>
          <w:rFonts w:ascii="Cambria" w:hAnsi="Cambria"/>
        </w:rPr>
        <w:t xml:space="preserve">Para el </w:t>
      </w:r>
      <w:r>
        <w:rPr>
          <w:rFonts w:ascii="Cambria" w:hAnsi="Cambria"/>
          <w:b/>
          <w:bCs/>
        </w:rPr>
        <w:t xml:space="preserve">Servicio de Inspección SOIVRE</w:t>
      </w:r>
      <w:r>
        <w:rPr>
          <w:rFonts w:ascii="Cambria" w:hAnsi="Cambria"/>
        </w:rPr>
        <w:t xml:space="preserve">, el conocimiento de este doble marco resulta indispensable para el control de calidad comercial y de seguridad de los productos objeto de comercio exterior.</w:t>
      </w:r>
    </w:p>
    <w:sectPr w:rsidR="00A65383" w:rsidRPr="007114D7">
      <w:footerReference w:type="default" r:id="rId900"/>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3E737" w14:textId="77777777" w:rsidR="00F85B76" w:rsidRDefault="00F85B76" w:rsidP="00F85B76">
      <w:pPr>
        <w:spacing w:after="0" w:line="240" w:lineRule="auto"/>
      </w:pPr>
      <w:r>
        <w:separator/>
      </w:r>
    </w:p>
  </w:endnote>
  <w:endnote w:type="continuationSeparator" w:id="0">
    <w:p w14:paraId="147C91B0" w14:textId="77777777" w:rsidR="00F85B76" w:rsidRDefault="00F85B76" w:rsidP="00F85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http://schemas.openxmlformats.org/wordprocessingml/2006/main">
  <w:p>
    <w:pPr>
      <w:pStyle w:val="Piedepgina"/>
      <w:jc w:val="center"/>
      <w:rPr>
        <w:rFonts w:ascii="Palatino Linotype" w:eastAsia="Palatino Linotype" w:hAnsi="Palatino Linotype" w:cs="Palatino Linotype"/>
        <w:b/>
        <w:bCs/>
        <w:color w:val="000000"/>
        <w:sz w:val="24"/>
        <w:szCs w:val="24"/>
      </w:rPr>
    </w:pPr>
    <w:r>
      <w:rPr>
        <w:rFonts w:ascii="Palatino Linotype" w:eastAsia="Palatino Linotype" w:hAnsi="Palatino Linotype" w:cs="Palatino Linotype"/>
        <w:b/>
        <w:bCs/>
        <w:color w:val="000000"/>
        <w:sz w:val="24"/>
        <w:szCs w:val="24"/>
      </w:rPr>
      <w:t>SERGIO ARGUDO SANTIAGO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BA500" w14:textId="77777777" w:rsidR="00F85B76" w:rsidRDefault="00F85B76" w:rsidP="00F85B76">
      <w:pPr>
        <w:spacing w:after="0" w:line="240" w:lineRule="auto"/>
      </w:pPr>
      <w:r>
        <w:separator/>
      </w:r>
    </w:p>
  </w:footnote>
  <w:footnote w:type="continuationSeparator" w:id="0">
    <w:p w14:paraId="5EBB74E5" w14:textId="77777777" w:rsidR="00F85B76" w:rsidRDefault="00F85B76" w:rsidP="00F85B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Encabezado"/>
      <w:jc w:val="both"/>
      <w:rPr>
        <w:rFonts w:ascii="Palatino Linotype" w:hAnsi="Palatino Linotype"/>
        <w:i/>
        <w:iCs/>
      </w:rPr>
    </w:pPr>
    <w:r>
      <w:rPr>
        <w:rFonts w:ascii="Palatino Linotype" w:hAnsi="Palatino Linotype"/>
        <w:i/>
        <w:iCs/>
      </w:rPr>
      <w:t xml:space="preserve">TEMA 43 – Normalización en el seno de la Unión Europea. Actividad normalizadora en el seno de la UE en el ámbito alimentario. Actividad normalizadora en el seno de la UE en el ámbito industrial: especial referencia al ámbito del Nuevo Enfoque. Mandatos de normalización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82A5E"/>
    <w:multiLevelType w:val="multilevel"/>
    <w:tmpl w:val="17686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BA086D"/>
    <w:multiLevelType w:val="multilevel"/>
    <w:tmpl w:val="C6368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764527"/>
    <w:multiLevelType w:val="multilevel"/>
    <w:tmpl w:val="4484D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B9671D"/>
    <w:multiLevelType w:val="multilevel"/>
    <w:tmpl w:val="FF7AB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145E70"/>
    <w:multiLevelType w:val="multilevel"/>
    <w:tmpl w:val="4CF84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082AA3"/>
    <w:multiLevelType w:val="multilevel"/>
    <w:tmpl w:val="E6004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E72879"/>
    <w:multiLevelType w:val="multilevel"/>
    <w:tmpl w:val="C3DA2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9A5A7F"/>
    <w:multiLevelType w:val="multilevel"/>
    <w:tmpl w:val="EE363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890683"/>
    <w:multiLevelType w:val="multilevel"/>
    <w:tmpl w:val="F0EAD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3F2D55"/>
    <w:multiLevelType w:val="multilevel"/>
    <w:tmpl w:val="BCE4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AC63FF"/>
    <w:multiLevelType w:val="multilevel"/>
    <w:tmpl w:val="10A62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9A721B"/>
    <w:multiLevelType w:val="multilevel"/>
    <w:tmpl w:val="9654A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E9D13DD"/>
    <w:multiLevelType w:val="multilevel"/>
    <w:tmpl w:val="88A6E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2984031">
    <w:abstractNumId w:val="7"/>
  </w:num>
  <w:num w:numId="2" w16cid:durableId="936329550">
    <w:abstractNumId w:val="4"/>
  </w:num>
  <w:num w:numId="3" w16cid:durableId="11223434">
    <w:abstractNumId w:val="0"/>
  </w:num>
  <w:num w:numId="4" w16cid:durableId="1698307743">
    <w:abstractNumId w:val="12"/>
  </w:num>
  <w:num w:numId="5" w16cid:durableId="1213886216">
    <w:abstractNumId w:val="11"/>
  </w:num>
  <w:num w:numId="6" w16cid:durableId="1037045334">
    <w:abstractNumId w:val="6"/>
  </w:num>
  <w:num w:numId="7" w16cid:durableId="638070075">
    <w:abstractNumId w:val="3"/>
  </w:num>
  <w:num w:numId="8" w16cid:durableId="616715768">
    <w:abstractNumId w:val="10"/>
  </w:num>
  <w:num w:numId="9" w16cid:durableId="1616985504">
    <w:abstractNumId w:val="9"/>
  </w:num>
  <w:num w:numId="10" w16cid:durableId="1055738181">
    <w:abstractNumId w:val="8"/>
  </w:num>
  <w:num w:numId="11" w16cid:durableId="928273277">
    <w:abstractNumId w:val="1"/>
  </w:num>
  <w:num w:numId="12" w16cid:durableId="919099836">
    <w:abstractNumId w:val="2"/>
  </w:num>
  <w:num w:numId="13" w16cid:durableId="5224786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B76"/>
    <w:rsid w:val="00457D88"/>
    <w:rsid w:val="005803BC"/>
    <w:rsid w:val="00600D28"/>
    <w:rsid w:val="00656837"/>
    <w:rsid w:val="006A0D39"/>
    <w:rsid w:val="007114D7"/>
    <w:rsid w:val="00975640"/>
    <w:rsid w:val="00A65383"/>
    <w:rsid w:val="00A8675C"/>
    <w:rsid w:val="00BB1DEC"/>
    <w:rsid w:val="00C12CFD"/>
    <w:rsid w:val="00D45530"/>
    <w:rsid w:val="00E15422"/>
    <w:rsid w:val="00E7657A"/>
    <w:rsid w:val="00EE6C5F"/>
    <w:rsid w:val="00F85B7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AF6C1"/>
  <w15:chartTrackingRefBased/>
  <w15:docId w15:val="{B64D109C-3694-4C93-A841-AE8DEB4F8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85B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85B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85B7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85B7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85B7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85B7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5B7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5B7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5B7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8675C"/>
    <w:pPr>
      <w:ind w:left="720"/>
      <w:contextualSpacing/>
    </w:pPr>
  </w:style>
  <w:style w:type="character" w:customStyle="1" w:styleId="Ttulo1Car">
    <w:name w:val="Título 1 Car"/>
    <w:basedOn w:val="Fuentedeprrafopredeter"/>
    <w:link w:val="Ttulo1"/>
    <w:uiPriority w:val="9"/>
    <w:rsid w:val="00F85B7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85B7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85B7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85B7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85B7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85B7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5B7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5B7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5B76"/>
    <w:rPr>
      <w:rFonts w:eastAsiaTheme="majorEastAsia" w:cstheme="majorBidi"/>
      <w:color w:val="272727" w:themeColor="text1" w:themeTint="D8"/>
    </w:rPr>
  </w:style>
  <w:style w:type="paragraph" w:styleId="Ttulo">
    <w:name w:val="Title"/>
    <w:basedOn w:val="Normal"/>
    <w:next w:val="Normal"/>
    <w:link w:val="TtuloCar"/>
    <w:uiPriority w:val="10"/>
    <w:qFormat/>
    <w:rsid w:val="00F85B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5B7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5B7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5B7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5B76"/>
    <w:pPr>
      <w:spacing w:before="160"/>
      <w:jc w:val="center"/>
    </w:pPr>
    <w:rPr>
      <w:i/>
      <w:iCs/>
      <w:color w:val="404040" w:themeColor="text1" w:themeTint="BF"/>
    </w:rPr>
  </w:style>
  <w:style w:type="character" w:customStyle="1" w:styleId="CitaCar">
    <w:name w:val="Cita Car"/>
    <w:basedOn w:val="Fuentedeprrafopredeter"/>
    <w:link w:val="Cita"/>
    <w:uiPriority w:val="29"/>
    <w:rsid w:val="00F85B76"/>
    <w:rPr>
      <w:i/>
      <w:iCs/>
      <w:color w:val="404040" w:themeColor="text1" w:themeTint="BF"/>
    </w:rPr>
  </w:style>
  <w:style w:type="character" w:styleId="nfasisintenso">
    <w:name w:val="Intense Emphasis"/>
    <w:basedOn w:val="Fuentedeprrafopredeter"/>
    <w:uiPriority w:val="21"/>
    <w:qFormat/>
    <w:rsid w:val="00F85B76"/>
    <w:rPr>
      <w:i/>
      <w:iCs/>
      <w:color w:val="0F4761" w:themeColor="accent1" w:themeShade="BF"/>
    </w:rPr>
  </w:style>
  <w:style w:type="paragraph" w:styleId="Citadestacada">
    <w:name w:val="Intense Quote"/>
    <w:basedOn w:val="Normal"/>
    <w:next w:val="Normal"/>
    <w:link w:val="CitadestacadaCar"/>
    <w:uiPriority w:val="30"/>
    <w:qFormat/>
    <w:rsid w:val="00F85B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85B76"/>
    <w:rPr>
      <w:i/>
      <w:iCs/>
      <w:color w:val="0F4761" w:themeColor="accent1" w:themeShade="BF"/>
    </w:rPr>
  </w:style>
  <w:style w:type="character" w:styleId="Referenciaintensa">
    <w:name w:val="Intense Reference"/>
    <w:basedOn w:val="Fuentedeprrafopredeter"/>
    <w:uiPriority w:val="32"/>
    <w:qFormat/>
    <w:rsid w:val="00F85B76"/>
    <w:rPr>
      <w:b/>
      <w:bCs/>
      <w:smallCaps/>
      <w:color w:val="0F4761" w:themeColor="accent1" w:themeShade="BF"/>
      <w:spacing w:val="5"/>
    </w:rPr>
  </w:style>
  <w:style w:type="paragraph" w:styleId="Encabezado">
    <w:name w:val="header"/>
    <w:basedOn w:val="Normal"/>
    <w:link w:val="EncabezadoCar"/>
    <w:uiPriority w:val="99"/>
    <w:unhideWhenUsed/>
    <w:rsid w:val="00F85B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5B76"/>
  </w:style>
  <w:style w:type="paragraph" w:styleId="Piedepgina">
    <w:name w:val="footer"/>
    <w:basedOn w:val="Normal"/>
    <w:link w:val="PiedepginaCar"/>
    <w:uiPriority w:val="99"/>
    <w:unhideWhenUsed/>
    <w:rsid w:val="00F85B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5B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900"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6</Pages>
  <Words>1112</Words>
  <Characters>6119</Characters>
  <Application>Microsoft Office Word</Application>
  <DocSecurity>0</DocSecurity>
  <Lines>50</Lines>
  <Paragraphs>14</Paragraphs>
  <ScaleCrop>false</ScaleCrop>
  <Company/>
  <LinksUpToDate>false</LinksUpToDate>
  <CharactersWithSpaces>7217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Argudo Santiago, Sergio</dc:creator>
  <cp:keywords/>
  <dc:description/>
  <cp:lastModifiedBy>Argudo Santiago, Sergio</cp:lastModifiedBy>
  <cp:revision>9</cp:revision>
  <dcterms:created xsi:type="dcterms:W3CDTF">2025-11-21T17:54:00Z</dcterms:created>
  <dcterms:modified xsi:type="dcterms:W3CDTF">2026-01-14T14:24:00Z</dcterms:modified>
</cp:coreProperties>
</file>