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Normalización</w:t>
      </w:r>
      <w:r>
        <w:rPr>
          <w:rFonts w:ascii="Cambria" w:hAnsi="Cambria"/>
        </w:rPr>
        <w:t xml:space="preserve">: actividad voluntaria basada en el consenso, desarrollada por y para las partes interesadas, con transparencia, para adoptar normas de cumplimiento voluntario.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Norma</w:t>
      </w:r>
      <w:r>
        <w:rPr>
          <w:rFonts w:ascii="Cambria" w:hAnsi="Cambria"/>
        </w:rPr>
        <w:t xml:space="preserve"> (definición del </w:t>
      </w:r>
      <w:r>
        <w:rPr>
          <w:rFonts w:ascii="Cambria" w:hAnsi="Cambria"/>
          <w:b/>
          <w:bCs/>
        </w:rPr>
        <w:t xml:space="preserve">Acuerdo TBT</w:t>
      </w:r>
      <w:r>
        <w:rPr>
          <w:rFonts w:ascii="Cambria" w:hAnsi="Cambria"/>
        </w:rPr>
        <w:t xml:space="preserve"> de la OMC): documento aprobado por una institución reconocida que prevé, para uso común y repetido, reglas o características para productos o procesos, de observancia no obligatoria. Puede incluir terminología, símbolos, embalaje, marcado o etiquetado.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normalización internacional facilita el comercio al crear un lenguaje técnico común entre fabricantes, administraciones y consumidores.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Grado de internacionalidad de las normas, en escalones: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Las Tres Hermanas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CODEX Alimentarius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OMSA/WOAH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CIPF</w:t>
      </w:r>
      <w:r>
        <w:rPr>
          <w:rFonts w:ascii="Cambria" w:hAnsi="Cambria"/>
        </w:rPr>
        <w:t xml:space="preserve">, reconocidas como organismos internacionales de normalización por el </w:t>
      </w:r>
      <w:r>
        <w:rPr>
          <w:rFonts w:ascii="Cambria" w:hAnsi="Cambria"/>
          <w:b/>
          <w:bCs/>
        </w:rPr>
        <w:t xml:space="preserve">Acuerdo SPS</w:t>
      </w:r>
      <w:r>
        <w:rPr>
          <w:rFonts w:ascii="Cambria" w:hAnsi="Cambria"/>
        </w:rPr>
        <w:t xml:space="preserve"> de la OMC.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ISO</w:t>
      </w:r>
      <w:r>
        <w:rPr>
          <w:rFonts w:ascii="Cambria" w:hAnsi="Cambria"/>
        </w:rPr>
        <w:t xml:space="preserve">, organismo de referencia del </w:t>
      </w:r>
      <w:r>
        <w:rPr>
          <w:rFonts w:ascii="Cambria" w:hAnsi="Cambria"/>
          <w:b/>
          <w:bCs/>
        </w:rPr>
        <w:t xml:space="preserve">Acuerdo TBT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Organismos regionales: </w:t>
      </w:r>
      <w:r>
        <w:rPr>
          <w:rFonts w:ascii="Cambria" w:hAnsi="Cambria"/>
          <w:b/>
          <w:bCs/>
        </w:rPr>
        <w:t xml:space="preserve">CEPE/NU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OCDE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UE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Organismos regionales de ámbito más limitado: </w:t>
      </w:r>
      <w:r>
        <w:rPr>
          <w:rFonts w:ascii="Cambria" w:hAnsi="Cambria"/>
          <w:b/>
          <w:bCs/>
        </w:rPr>
        <w:t xml:space="preserve">COPANT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ARSO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ACCSQ</w:t>
      </w:r>
      <w:r>
        <w:rPr>
          <w:rFonts w:ascii="Cambria" w:hAnsi="Cambria"/>
        </w:rPr>
        <w:t xml:space="preserve">, y en Europa </w:t>
      </w:r>
      <w:r>
        <w:rPr>
          <w:rFonts w:ascii="Cambria" w:hAnsi="Cambria"/>
          <w:b/>
          <w:bCs/>
        </w:rPr>
        <w:t xml:space="preserve">CEN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CENELEC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ETSI</w:t>
      </w:r>
      <w:r>
        <w:rPr>
          <w:rFonts w:ascii="Cambria" w:hAnsi="Cambria"/>
        </w:rPr>
        <w:t xml:space="preserve"> y, en España, </w:t>
      </w:r>
      <w:r>
        <w:rPr>
          <w:rFonts w:ascii="Cambria" w:hAnsi="Cambria"/>
          <w:b/>
          <w:bCs/>
        </w:rPr>
        <w:t xml:space="preserve">AENOR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Acuerdo TBT</w:t>
      </w:r>
      <w:r>
        <w:rPr>
          <w:rFonts w:ascii="Cambria" w:hAnsi="Cambria"/>
        </w:rPr>
        <w:t xml:space="preserve"> insta a los Miembros de la OMC a utilizar normas internacionales cuando existan.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ORGANISMOS INTERNACIONALES DE NORMALIZACIÓN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Organismos internacionales de carácter gubernamental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CODEX Alimentarius</w:t>
      </w:r>
      <w:r>
        <w:rPr>
          <w:rFonts w:ascii="Cambria" w:hAnsi="Cambria"/>
        </w:rPr>
        <w:t xml:space="preserve">: Programa Conjunto </w:t>
      </w:r>
      <w:r>
        <w:rPr>
          <w:rFonts w:ascii="Cambria" w:hAnsi="Cambria"/>
          <w:b/>
          <w:bCs/>
        </w:rPr>
        <w:t xml:space="preserve">FAO/OMS</w:t>
      </w:r>
      <w:r>
        <w:rPr>
          <w:rFonts w:ascii="Cambria" w:hAnsi="Cambria"/>
        </w:rPr>
        <w:t xml:space="preserve">, referencia mundial en normas alimentarias. La Comisión del CODEX integra </w:t>
      </w:r>
      <w:r>
        <w:rPr>
          <w:rFonts w:ascii="Cambria" w:hAnsi="Cambria"/>
          <w:b/>
          <w:bCs/>
        </w:rPr>
        <w:t xml:space="preserve">189 Miembros</w:t>
      </w:r>
      <w:r>
        <w:rPr>
          <w:rFonts w:ascii="Cambria" w:hAnsi="Cambria"/>
        </w:rPr>
        <w:t xml:space="preserve"> (188 Estados y la </w:t>
      </w:r>
      <w:r>
        <w:rPr>
          <w:rFonts w:ascii="Cambria" w:hAnsi="Cambria"/>
          <w:b/>
          <w:bCs/>
        </w:rPr>
        <w:t xml:space="preserve">UE</w:t>
      </w:r>
      <w:r>
        <w:rPr>
          <w:rFonts w:ascii="Cambria" w:hAnsi="Cambria"/>
        </w:rPr>
        <w:t xml:space="preserve">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Objetivos: proteger la salud de los consumidores, asegurar prácticas equitativas en el comercio, coordinar trabajos entre instituciones y preparar proyectos de normas.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Plan Estratégico del CODEX 2026-2031</w:t>
      </w:r>
      <w:r>
        <w:rPr>
          <w:rFonts w:ascii="Cambria" w:hAnsi="Cambria"/>
        </w:rPr>
        <w:t xml:space="preserve">, adoptado en la 47ª reunión de la Comisión y en vigor desde el </w:t>
      </w:r>
      <w:r>
        <w:rPr>
          <w:rFonts w:ascii="Cambria" w:hAnsi="Cambria"/>
          <w:b/>
          <w:bCs/>
        </w:rPr>
        <w:t xml:space="preserve">1 de enero de 2026</w:t>
      </w:r>
      <w:r>
        <w:rPr>
          <w:rFonts w:ascii="Cambria" w:hAnsi="Cambria"/>
        </w:rPr>
        <w:t xml:space="preserve">, sustituye al Plan 2020-2025.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OMSA/WOAH</w:t>
      </w:r>
      <w:r>
        <w:rPr>
          <w:rFonts w:ascii="Cambria" w:hAnsi="Cambria"/>
        </w:rPr>
        <w:t xml:space="preserve">: fundada en </w:t>
      </w:r>
      <w:r>
        <w:rPr>
          <w:rFonts w:ascii="Cambria" w:hAnsi="Cambria"/>
          <w:b/>
          <w:bCs/>
        </w:rPr>
        <w:t xml:space="preserve">1924</w:t>
      </w:r>
      <w:r>
        <w:rPr>
          <w:rFonts w:ascii="Cambria" w:hAnsi="Cambria"/>
        </w:rPr>
        <w:t xml:space="preserve"> como Oficina Internacional de Epizootias (OIE), denominación sustituida en 2022. Organización intergubernamental con </w:t>
      </w:r>
      <w:r>
        <w:rPr>
          <w:rFonts w:ascii="Cambria" w:hAnsi="Cambria"/>
          <w:b/>
          <w:bCs/>
        </w:rPr>
        <w:t xml:space="preserve">183 Miembros</w:t>
      </w:r>
      <w:r>
        <w:rPr>
          <w:rFonts w:ascii="Cambria" w:hAnsi="Cambria"/>
        </w:rPr>
        <w:t xml:space="preserve">, integrante de Las Tres Hermanas.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Objetivos: transparencia sobre enfermedades animales, asesoramiento y solidaridad internacional, y salvaguarda del comercio mediante normas de salud animal (el </w:t>
      </w:r>
      <w:r>
        <w:rPr>
          <w:rFonts w:ascii="Cambria" w:hAnsi="Cambria"/>
          <w:b/>
          <w:bCs/>
        </w:rPr>
        <w:t xml:space="preserve">Código</w:t>
      </w:r>
      <w:r>
        <w:rPr>
          <w:rFonts w:ascii="Cambria" w:hAnsi="Cambria"/>
        </w:rPr>
        <w:t xml:space="preserve">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7º Plan Estratégico</w:t>
      </w:r>
      <w:r>
        <w:rPr>
          <w:rFonts w:ascii="Cambria" w:hAnsi="Cambria"/>
        </w:rPr>
        <w:t xml:space="preserve"> (2021-2025) se prolongó en fase de transición en 2026. El </w:t>
      </w:r>
      <w:r>
        <w:rPr>
          <w:rFonts w:ascii="Cambria" w:hAnsi="Cambria"/>
          <w:b/>
          <w:bCs/>
        </w:rPr>
        <w:t xml:space="preserve">8º Plan Estratégico</w:t>
      </w:r>
      <w:r>
        <w:rPr>
          <w:rFonts w:ascii="Cambria" w:hAnsi="Cambria"/>
        </w:rPr>
        <w:t xml:space="preserve">, adoptado el 20 de mayo de 2026, cubrirá 2027-2031, con enfoque </w:t>
      </w:r>
      <w:r>
        <w:rPr>
          <w:rFonts w:ascii="Cambria" w:hAnsi="Cambria"/>
          <w:b/>
          <w:bCs/>
        </w:rPr>
        <w:t xml:space="preserve">One Health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CIPF/IPPC</w:t>
      </w:r>
      <w:r>
        <w:rPr>
          <w:rFonts w:ascii="Cambria" w:hAnsi="Cambria"/>
        </w:rPr>
        <w:t xml:space="preserve">: tratado internacional con </w:t>
      </w:r>
      <w:r>
        <w:rPr>
          <w:rFonts w:ascii="Cambria" w:hAnsi="Cambria"/>
          <w:b/>
          <w:bCs/>
        </w:rPr>
        <w:t xml:space="preserve">185 partes contratantes</w:t>
      </w:r>
      <w:r>
        <w:rPr>
          <w:rFonts w:ascii="Cambria" w:hAnsi="Cambria"/>
        </w:rPr>
        <w:t xml:space="preserve">, tercera de Las Tres Hermanas. Elabora normas de protección de plantas y certificación fitosanitaria, como la Guía de análisis de riesgo de plagas o las Directrices para el comercio internacional de envases de madera.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IMO/OMI</w:t>
      </w:r>
      <w:r>
        <w:rPr>
          <w:rFonts w:ascii="Cambria" w:hAnsi="Cambria"/>
        </w:rPr>
        <w:t xml:space="preserve">: organización de Naciones Unidas con </w:t>
      </w:r>
      <w:r>
        <w:rPr>
          <w:rFonts w:ascii="Cambria" w:hAnsi="Cambria"/>
          <w:b/>
          <w:bCs/>
        </w:rPr>
        <w:t xml:space="preserve">176 Miembros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3 Miembros Asociados</w:t>
      </w:r>
      <w:r>
        <w:rPr>
          <w:rFonts w:ascii="Cambria" w:hAnsi="Cambria"/>
        </w:rPr>
        <w:t xml:space="preserve">, especializada en asuntos marítimos (</w:t>
      </w:r>
      <w:r>
        <w:rPr>
          <w:rFonts w:ascii="Cambria" w:hAnsi="Cambria"/>
          <w:b/>
          <w:bCs/>
        </w:rPr>
        <w:t xml:space="preserve">MARPOL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SOLAS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ARQUEO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ITU/UIT</w:t>
      </w:r>
      <w:r>
        <w:rPr>
          <w:rFonts w:ascii="Cambria" w:hAnsi="Cambria"/>
        </w:rPr>
        <w:t xml:space="preserve">: organización del sistema de Naciones Unidas con </w:t>
      </w:r>
      <w:r>
        <w:rPr>
          <w:rFonts w:ascii="Cambria" w:hAnsi="Cambria"/>
          <w:b/>
          <w:bCs/>
        </w:rPr>
        <w:t xml:space="preserve">193 países</w:t>
      </w:r>
      <w:r>
        <w:rPr>
          <w:rFonts w:ascii="Cambria" w:hAnsi="Cambria"/>
        </w:rPr>
        <w:t xml:space="preserve"> y más de </w:t>
      </w:r>
      <w:r>
        <w:rPr>
          <w:rFonts w:ascii="Cambria" w:hAnsi="Cambria"/>
          <w:b/>
          <w:bCs/>
        </w:rPr>
        <w:t xml:space="preserve">900 entidades</w:t>
      </w:r>
      <w:r>
        <w:rPr>
          <w:rFonts w:ascii="Cambria" w:hAnsi="Cambria"/>
        </w:rPr>
        <w:t xml:space="preserve"> del sector privado. Se rige por su Plan Estratégico 2024-2027, centrado en conectividad inclusiva y transformación digital sostenible.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Organismos internacionales de carácter no gubernamental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IEC/CEI</w:t>
      </w:r>
      <w:r>
        <w:rPr>
          <w:rFonts w:ascii="Cambria" w:hAnsi="Cambria"/>
        </w:rPr>
        <w:t xml:space="preserve">: organización no gubernamental del área eléctrica, con </w:t>
      </w:r>
      <w:r>
        <w:rPr>
          <w:rFonts w:ascii="Cambria" w:hAnsi="Cambria"/>
          <w:b/>
          <w:bCs/>
        </w:rPr>
        <w:t xml:space="preserve">63 miembros de pleno derecho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27 asociados</w:t>
      </w:r>
      <w:r>
        <w:rPr>
          <w:rFonts w:ascii="Cambria" w:hAnsi="Cambria"/>
        </w:rPr>
        <w:t xml:space="preserve">. Incluye el comité </w:t>
      </w:r>
      <w:r>
        <w:rPr>
          <w:rFonts w:ascii="Cambria" w:hAnsi="Cambria"/>
          <w:b/>
          <w:bCs/>
        </w:rPr>
        <w:t xml:space="preserve">CISPR</w:t>
      </w:r>
      <w:r>
        <w:rPr>
          <w:rFonts w:ascii="Cambria" w:hAnsi="Cambria"/>
        </w:rPr>
        <w:t xml:space="preserve"> sobre interferencias radioeléctricas.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ISO</w:t>
      </w:r>
      <w:r>
        <w:rPr>
          <w:rFonts w:ascii="Cambria" w:hAnsi="Cambria"/>
        </w:rPr>
        <w:t xml:space="preserve">: federación de organismos nacionales de normalización, uno por país, con </w:t>
      </w:r>
      <w:r>
        <w:rPr>
          <w:rFonts w:ascii="Cambria" w:hAnsi="Cambria"/>
          <w:b/>
          <w:bCs/>
        </w:rPr>
        <w:t xml:space="preserve">175 miembros</w:t>
      </w:r>
      <w:r>
        <w:rPr>
          <w:rFonts w:ascii="Cambria" w:hAnsi="Cambria"/>
        </w:rPr>
        <w:t xml:space="preserve">. Organismo de referencia del </w:t>
      </w:r>
      <w:r>
        <w:rPr>
          <w:rFonts w:ascii="Cambria" w:hAnsi="Cambria"/>
          <w:b/>
          <w:bCs/>
        </w:rPr>
        <w:t xml:space="preserve">Acuerdo TBT</w:t>
      </w:r>
      <w:r>
        <w:rPr>
          <w:rFonts w:ascii="Cambria" w:hAnsi="Cambria"/>
        </w:rPr>
        <w:t xml:space="preserve">, suscriptor de su Código de Buena Conducta.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Financiación: cuotas de Miembros y venta de normas.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Estructura en más de </w:t>
      </w:r>
      <w:r>
        <w:rPr>
          <w:rFonts w:ascii="Cambria" w:hAnsi="Cambria"/>
          <w:b/>
          <w:bCs/>
        </w:rPr>
        <w:t xml:space="preserve">300 comités técnicos (TC)</w:t>
      </w:r>
      <w:r>
        <w:rPr>
          <w:rFonts w:ascii="Cambria" w:hAnsi="Cambria"/>
        </w:rPr>
        <w:t xml:space="preserve">, como el </w:t>
      </w:r>
      <w:r>
        <w:rPr>
          <w:rFonts w:ascii="Cambria" w:hAnsi="Cambria"/>
          <w:b/>
          <w:bCs/>
        </w:rPr>
        <w:t xml:space="preserve">TC34</w:t>
      </w:r>
      <w:r>
        <w:rPr>
          <w:rFonts w:ascii="Cambria" w:hAnsi="Cambria"/>
        </w:rPr>
        <w:t xml:space="preserve"> de productos alimenticios.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voluntarias, adoptadas por consenso, un voto por Miembro.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Vigente la </w:t>
      </w:r>
      <w:r>
        <w:rPr>
          <w:rFonts w:ascii="Cambria" w:hAnsi="Cambria"/>
          <w:b/>
          <w:bCs/>
        </w:rPr>
        <w:t xml:space="preserve">Estrategia 2030</w:t>
      </w:r>
      <w:r>
        <w:rPr>
          <w:rFonts w:ascii="Cambria" w:hAnsi="Cambria"/>
        </w:rPr>
        <w:t xml:space="preserve">, sucesora de la Estrategia 2016-2020, alineada con la Agenda 2030 de Naciones Unidas. Relevancia de la norma </w:t>
      </w:r>
      <w:r>
        <w:rPr>
          <w:rFonts w:ascii="Cambria" w:hAnsi="Cambria"/>
          <w:b/>
          <w:bCs/>
        </w:rPr>
        <w:t xml:space="preserve">ISO 22000</w:t>
      </w:r>
      <w:r>
        <w:rPr>
          <w:rFonts w:ascii="Cambria" w:hAnsi="Cambria"/>
        </w:rPr>
        <w:t xml:space="preserve"> de seguridad alimentaria.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Proceso de elaboración en </w:t>
      </w:r>
      <w:r>
        <w:rPr>
          <w:rFonts w:ascii="Cambria" w:hAnsi="Cambria"/>
          <w:b/>
          <w:bCs/>
        </w:rPr>
        <w:t xml:space="preserve">3 etapas</w:t>
      </w:r>
      <w:r>
        <w:rPr>
          <w:rFonts w:ascii="Cambria" w:hAnsi="Cambria"/>
        </w:rPr>
        <w:t xml:space="preserve">: definición del alcance técnico por grupos de expertos, desarrollo de especificaciones por consenso, y aprobación formal con al menos </w:t>
      </w:r>
      <w:r>
        <w:rPr>
          <w:rFonts w:ascii="Cambria" w:hAnsi="Cambria"/>
          <w:b/>
          <w:bCs/>
        </w:rPr>
        <w:t xml:space="preserve">dos terceras partes</w:t>
      </w:r>
      <w:r>
        <w:rPr>
          <w:rFonts w:ascii="Cambria" w:hAnsi="Cambria"/>
        </w:rPr>
        <w:t xml:space="preserve"> de los Miembros participantes.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Más de </w:t>
      </w:r>
      <w:r>
        <w:rPr>
          <w:rFonts w:ascii="Cambria" w:hAnsi="Cambria"/>
          <w:b/>
          <w:bCs/>
        </w:rPr>
        <w:t xml:space="preserve">26.000 normas</w:t>
      </w:r>
      <w:r>
        <w:rPr>
          <w:rFonts w:ascii="Cambria" w:hAnsi="Cambria"/>
        </w:rPr>
        <w:t xml:space="preserve"> elaboradas. Destacan la codificación de países, </w:t>
      </w:r>
      <w:r>
        <w:rPr>
          <w:rFonts w:ascii="Cambria" w:hAnsi="Cambria"/>
          <w:b/>
          <w:bCs/>
        </w:rPr>
        <w:t xml:space="preserve">ISOFIX</w:t>
      </w:r>
      <w:r>
        <w:rPr>
          <w:rFonts w:ascii="Cambria" w:hAnsi="Cambria"/>
        </w:rPr>
        <w:t xml:space="preserve">, los códigos de monedas y las normas de gestión </w:t>
      </w:r>
      <w:r>
        <w:rPr>
          <w:rFonts w:ascii="Cambria" w:hAnsi="Cambria"/>
          <w:b/>
          <w:bCs/>
        </w:rPr>
        <w:t xml:space="preserve">ISO 9000</w:t>
      </w:r>
      <w:r>
        <w:rPr>
          <w:rFonts w:ascii="Cambria" w:hAnsi="Cambria"/>
        </w:rPr>
        <w:t xml:space="preserve"> (calidad) e </w:t>
      </w:r>
      <w:r>
        <w:rPr>
          <w:rFonts w:ascii="Cambria" w:hAnsi="Cambria"/>
          <w:b/>
          <w:bCs/>
        </w:rPr>
        <w:t xml:space="preserve">ISO 14000</w:t>
      </w:r>
      <w:r>
        <w:rPr>
          <w:rFonts w:ascii="Cambria" w:hAnsi="Cambria"/>
        </w:rPr>
        <w:t xml:space="preserve"> (medioambiente).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ORGANISMOS REGIONALES DE NORMALIZACIÓN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Organismos regionales de carácter gubernamental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CEPE/NU</w:t>
      </w:r>
      <w:r>
        <w:rPr>
          <w:rFonts w:ascii="Cambria" w:hAnsi="Cambria"/>
        </w:rPr>
        <w:t xml:space="preserve">: creada en </w:t>
      </w:r>
      <w:r>
        <w:rPr>
          <w:rFonts w:ascii="Cambria" w:hAnsi="Cambria"/>
          <w:b/>
          <w:bCs/>
        </w:rPr>
        <w:t xml:space="preserve">1947</w:t>
      </w:r>
      <w:r>
        <w:rPr>
          <w:rFonts w:ascii="Cambria" w:hAnsi="Cambria"/>
        </w:rPr>
        <w:t xml:space="preserve"> por el ECOSOC, una de las 5 Comisiones Regionales de la ONU. Reúne a </w:t>
      </w:r>
      <w:r>
        <w:rPr>
          <w:rFonts w:ascii="Cambria" w:hAnsi="Cambria"/>
          <w:b/>
          <w:bCs/>
        </w:rPr>
        <w:t xml:space="preserve">56 países Miembros</w:t>
      </w:r>
      <w:r>
        <w:rPr>
          <w:rFonts w:ascii="Cambria" w:hAnsi="Cambria"/>
        </w:rPr>
        <w:t xml:space="preserve">, con sede en Ginebra.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Desarrolla Normas-Cuadro que concretan el </w:t>
      </w:r>
      <w:r>
        <w:rPr>
          <w:rFonts w:ascii="Cambria" w:hAnsi="Cambria"/>
          <w:b/>
          <w:bCs/>
        </w:rPr>
        <w:t xml:space="preserve">Acuerdo de Ginebra</w:t>
      </w:r>
      <w:r>
        <w:rPr>
          <w:rFonts w:ascii="Cambria" w:hAnsi="Cambria"/>
        </w:rPr>
        <w:t xml:space="preserve">, base de las normas de calidad agroalimentarias de la UE bajo la </w:t>
      </w:r>
      <w:r>
        <w:rPr>
          <w:rFonts w:ascii="Cambria" w:hAnsi="Cambria"/>
          <w:b/>
          <w:bCs/>
        </w:rPr>
        <w:t xml:space="preserve">OCM Única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Organismos regionales europeos de carácter no gubernamental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Vinculados al </w:t>
      </w:r>
      <w:r>
        <w:rPr>
          <w:rFonts w:ascii="Cambria" w:hAnsi="Cambria"/>
          <w:b/>
          <w:bCs/>
        </w:rPr>
        <w:t xml:space="preserve">Nuevo Enfoque</w:t>
      </w:r>
      <w:r>
        <w:rPr>
          <w:rFonts w:ascii="Cambria" w:hAnsi="Cambria"/>
        </w:rPr>
        <w:t xml:space="preserve">, diseñado para culminar el Mercado Único en </w:t>
      </w:r>
      <w:r>
        <w:rPr>
          <w:rFonts w:ascii="Cambria" w:hAnsi="Cambria"/>
          <w:b/>
          <w:bCs/>
        </w:rPr>
        <w:t xml:space="preserve">1993</w:t>
      </w:r>
      <w:r>
        <w:rPr>
          <w:rFonts w:ascii="Cambria" w:hAnsi="Cambria"/>
        </w:rPr>
        <w:t xml:space="preserve">, basado en: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Armonización legislativa limitada a requisitos esenciales.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Especificaciones técnicas fijadas en </w:t>
      </w:r>
      <w:r>
        <w:rPr>
          <w:rFonts w:ascii="Cambria" w:hAnsi="Cambria"/>
          <w:b/>
          <w:bCs/>
        </w:rPr>
        <w:t xml:space="preserve">Normas Armonizadas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Aplicación voluntaria de las Normas Armonizadas.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Presunción de conformidad para productos fabricados conforme a ellas.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CEN</w:t>
      </w:r>
      <w:r>
        <w:rPr>
          <w:rFonts w:ascii="Cambria" w:hAnsi="Cambria"/>
        </w:rPr>
        <w:t xml:space="preserve">: creado en </w:t>
      </w:r>
      <w:r>
        <w:rPr>
          <w:rFonts w:ascii="Cambria" w:hAnsi="Cambria"/>
          <w:b/>
          <w:bCs/>
        </w:rPr>
        <w:t xml:space="preserve">1961</w:t>
      </w:r>
      <w:r>
        <w:rPr>
          <w:rFonts w:ascii="Cambria" w:hAnsi="Cambria"/>
        </w:rPr>
        <w:t xml:space="preserve">, agrupa a los organismos de normalización nacionales de </w:t>
      </w:r>
      <w:r>
        <w:rPr>
          <w:rFonts w:ascii="Cambria" w:hAnsi="Cambria"/>
          <w:b/>
          <w:bCs/>
        </w:rPr>
        <w:t xml:space="preserve">34 Estados</w:t>
      </w:r>
      <w:r>
        <w:rPr>
          <w:rFonts w:ascii="Cambria" w:hAnsi="Cambria"/>
        </w:rPr>
        <w:t xml:space="preserve"> (entre ellos </w:t>
      </w:r>
      <w:r>
        <w:rPr>
          <w:rFonts w:ascii="Cambria" w:hAnsi="Cambria"/>
          <w:b/>
          <w:bCs/>
        </w:rPr>
        <w:t xml:space="preserve">UNE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AFNOR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BSI</w:t>
      </w:r>
      <w:r>
        <w:rPr>
          <w:rFonts w:ascii="Cambria" w:hAnsi="Cambria"/>
        </w:rPr>
        <w:t xml:space="preserve">). Colabora con CENELEC, ETSI e ISO, y ha suscrito el Código de Buena Conducta del </w:t>
      </w:r>
      <w:r>
        <w:rPr>
          <w:rFonts w:ascii="Cambria" w:hAnsi="Cambria"/>
          <w:b/>
          <w:bCs/>
        </w:rPr>
        <w:t xml:space="preserve">Acuerdo TBT</w:t>
      </w:r>
      <w:r>
        <w:rPr>
          <w:rFonts w:ascii="Cambria" w:hAnsi="Cambria"/>
        </w:rPr>
        <w:t xml:space="preserve">. Destaca el </w:t>
      </w:r>
      <w:r>
        <w:rPr>
          <w:rFonts w:ascii="Cambria" w:hAnsi="Cambria"/>
          <w:b/>
          <w:bCs/>
        </w:rPr>
        <w:t xml:space="preserve">Acuerdo de Viena</w:t>
      </w:r>
      <w:r>
        <w:rPr>
          <w:rFonts w:ascii="Cambria" w:hAnsi="Cambria"/>
        </w:rPr>
        <w:t xml:space="preserve"> (1991) de cooperación técnica ISO-CEN. Estructura en Comités Técnicos (CEN/TC), normas adoptadas por mayoría cualificada.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CENELEC</w:t>
      </w:r>
      <w:r>
        <w:rPr>
          <w:rFonts w:ascii="Cambria" w:hAnsi="Cambria"/>
        </w:rPr>
        <w:t xml:space="preserve">: creado en </w:t>
      </w:r>
      <w:r>
        <w:rPr>
          <w:rFonts w:ascii="Cambria" w:hAnsi="Cambria"/>
          <w:b/>
          <w:bCs/>
        </w:rPr>
        <w:t xml:space="preserve">1973</w:t>
      </w:r>
      <w:r>
        <w:rPr>
          <w:rFonts w:ascii="Cambria" w:hAnsi="Cambria"/>
        </w:rPr>
        <w:t xml:space="preserve">, sede en Bruselas, integrado por los Comités Electrotécnicos Nacionales de </w:t>
      </w:r>
      <w:r>
        <w:rPr>
          <w:rFonts w:ascii="Cambria" w:hAnsi="Cambria"/>
          <w:b/>
          <w:bCs/>
        </w:rPr>
        <w:t xml:space="preserve">34 países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Procedimiento: elaboración de un borrador, estudio durante </w:t>
      </w:r>
      <w:r>
        <w:rPr>
          <w:rFonts w:ascii="Cambria" w:hAnsi="Cambria"/>
          <w:b/>
          <w:bCs/>
        </w:rPr>
        <w:t xml:space="preserve">6 meses</w:t>
      </w:r>
      <w:r>
        <w:rPr>
          <w:rFonts w:ascii="Cambria" w:hAnsi="Cambria"/>
        </w:rPr>
        <w:t xml:space="preserve">, votación (aprobación si la mayoría de Comités Nacionales están a favor y al menos el </w:t>
      </w:r>
      <w:r>
        <w:rPr>
          <w:rFonts w:ascii="Cambria" w:hAnsi="Cambria"/>
          <w:b/>
          <w:bCs/>
        </w:rPr>
        <w:t xml:space="preserve">71 %</w:t>
      </w:r>
      <w:r>
        <w:rPr>
          <w:rFonts w:ascii="Cambria" w:hAnsi="Cambria"/>
        </w:rPr>
        <w:t xml:space="preserve"> de los votos es positivo), identificación con las letras </w:t>
      </w:r>
      <w:r>
        <w:rPr>
          <w:rFonts w:ascii="Cambria" w:hAnsi="Cambria"/>
          <w:b/>
          <w:bCs/>
        </w:rPr>
        <w:t xml:space="preserve">EN</w:t>
      </w:r>
      <w:r>
        <w:rPr>
          <w:rFonts w:ascii="Cambria" w:hAnsi="Cambria"/>
        </w:rPr>
        <w:t xml:space="preserve"> más número y año.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ETSI</w:t>
      </w:r>
      <w:r>
        <w:rPr>
          <w:rFonts w:ascii="Cambria" w:hAnsi="Cambria"/>
        </w:rPr>
        <w:t xml:space="preserve">: creado en </w:t>
      </w:r>
      <w:r>
        <w:rPr>
          <w:rFonts w:ascii="Cambria" w:hAnsi="Cambria"/>
          <w:b/>
          <w:bCs/>
        </w:rPr>
        <w:t xml:space="preserve">1988</w:t>
      </w:r>
      <w:r>
        <w:rPr>
          <w:rFonts w:ascii="Cambria" w:hAnsi="Cambria"/>
        </w:rPr>
        <w:t xml:space="preserve">, en torno a </w:t>
      </w:r>
      <w:r>
        <w:rPr>
          <w:rFonts w:ascii="Cambria" w:hAnsi="Cambria"/>
          <w:b/>
          <w:bCs/>
        </w:rPr>
        <w:t xml:space="preserve">900 Miembros</w:t>
      </w:r>
      <w:r>
        <w:rPr>
          <w:rFonts w:ascii="Cambria" w:hAnsi="Cambria"/>
        </w:rPr>
        <w:t xml:space="preserve"> de más de </w:t>
      </w:r>
      <w:r>
        <w:rPr>
          <w:rFonts w:ascii="Cambria" w:hAnsi="Cambria"/>
          <w:b/>
          <w:bCs/>
        </w:rPr>
        <w:t xml:space="preserve">60 países</w:t>
      </w:r>
      <w:r>
        <w:rPr>
          <w:rFonts w:ascii="Cambria" w:hAnsi="Cambria"/>
        </w:rPr>
        <w:t xml:space="preserve">, normaliza el área de telecomunicaciones mediante consenso en Comités Técnicos.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ORGANISMOS NACIONALES DE NORMALIZACIÓN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Organismos nacionales privados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España, la normalización corresponde a </w:t>
      </w:r>
      <w:r>
        <w:rPr>
          <w:rFonts w:ascii="Cambria" w:hAnsi="Cambria"/>
          <w:b/>
          <w:bCs/>
        </w:rPr>
        <w:t xml:space="preserve">UNE</w:t>
      </w:r>
      <w:r>
        <w:rPr>
          <w:rFonts w:ascii="Cambria" w:hAnsi="Cambria"/>
        </w:rPr>
        <w:t xml:space="preserve"> (Asociación Española de Normalización). Históricamente unida a la certificación en </w:t>
      </w:r>
      <w:r>
        <w:rPr>
          <w:rFonts w:ascii="Cambria" w:hAnsi="Cambria"/>
          <w:b/>
          <w:bCs/>
        </w:rPr>
        <w:t xml:space="preserve">AENOR</w:t>
      </w:r>
      <w:r>
        <w:rPr>
          <w:rFonts w:ascii="Cambria" w:hAnsi="Cambria"/>
        </w:rPr>
        <w:t xml:space="preserve">, entidad designada por Orden de Industria y Energía conforme al </w:t>
      </w:r>
      <w:r>
        <w:rPr>
          <w:rFonts w:ascii="Cambria" w:hAnsi="Cambria"/>
          <w:b/>
          <w:bCs/>
        </w:rPr>
        <w:t xml:space="preserve">Real Decreto 1614/1985</w:t>
      </w:r>
      <w:r>
        <w:rPr>
          <w:rFonts w:ascii="Cambria" w:hAnsi="Cambria"/>
        </w:rPr>
        <w:t xml:space="preserve">, y reconocida por el </w:t>
      </w:r>
      <w:r>
        <w:rPr>
          <w:rFonts w:ascii="Cambria" w:hAnsi="Cambria"/>
          <w:b/>
          <w:bCs/>
        </w:rPr>
        <w:t xml:space="preserve">Real Decreto 2200/1995</w:t>
      </w:r>
      <w:r>
        <w:rPr>
          <w:rFonts w:ascii="Cambria" w:hAnsi="Cambria"/>
        </w:rPr>
        <w:t xml:space="preserve">, en desarrollo de la </w:t>
      </w:r>
      <w:r>
        <w:rPr>
          <w:rFonts w:ascii="Cambria" w:hAnsi="Cambria"/>
          <w:b/>
          <w:bCs/>
        </w:rPr>
        <w:t xml:space="preserve">Ley 21/1992 de Industria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</w:t>
      </w:r>
      <w:r>
        <w:rPr>
          <w:rFonts w:ascii="Cambria" w:hAnsi="Cambria"/>
          <w:b/>
          <w:bCs/>
        </w:rPr>
        <w:t xml:space="preserve">2017</w:t>
      </w:r>
      <w:r>
        <w:rPr>
          <w:rFonts w:ascii="Cambria" w:hAnsi="Cambria"/>
        </w:rPr>
        <w:t xml:space="preserve"> se desdobló la actividad en dos organizaciones: </w:t>
      </w:r>
      <w:r>
        <w:rPr>
          <w:rFonts w:ascii="Cambria" w:hAnsi="Cambria"/>
          <w:b/>
          <w:bCs/>
        </w:rPr>
        <w:t xml:space="preserve">UNE</w:t>
      </w:r>
      <w:r>
        <w:rPr>
          <w:rFonts w:ascii="Cambria" w:hAnsi="Cambria"/>
        </w:rPr>
        <w:t xml:space="preserve"> (normalización y cooperación internacional) y </w:t>
      </w:r>
      <w:r>
        <w:rPr>
          <w:rFonts w:ascii="Cambria" w:hAnsi="Cambria"/>
          <w:b/>
          <w:bCs/>
        </w:rPr>
        <w:t xml:space="preserve">AENOR</w:t>
      </w:r>
      <w:r>
        <w:rPr>
          <w:rFonts w:ascii="Cambria" w:hAnsi="Cambria"/>
        </w:rPr>
        <w:t xml:space="preserve"> (evaluación de la conformidad, formación y publicaciones).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UNE es el miembro español ante </w:t>
      </w:r>
      <w:r>
        <w:rPr>
          <w:rFonts w:ascii="Cambria" w:hAnsi="Cambria"/>
          <w:b/>
          <w:bCs/>
        </w:rPr>
        <w:t xml:space="preserve">ISO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IEC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CEN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CENELEC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ETSI</w:t>
      </w:r>
      <w:r>
        <w:rPr>
          <w:rFonts w:ascii="Cambria" w:hAnsi="Cambria"/>
        </w:rPr>
        <w:t xml:space="preserve">, y miembro de </w:t>
      </w:r>
      <w:r>
        <w:rPr>
          <w:rFonts w:ascii="Cambria" w:hAnsi="Cambria"/>
          <w:b/>
          <w:bCs/>
        </w:rPr>
        <w:t xml:space="preserve">COPANT</w:t>
      </w:r>
      <w:r>
        <w:rPr>
          <w:rFonts w:ascii="Cambria" w:hAnsi="Cambria"/>
        </w:rPr>
        <w:t xml:space="preserve">. Reconocida como organismo nacional de normalización de España por la reglamentación de la UE.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Punto de información para reglamentos técnicos: la Subdirección General de Inspección, Certificación y Asistencia Técnica del Comercio Exterior, del </w:t>
      </w:r>
      <w:r>
        <w:rPr>
          <w:rFonts w:ascii="Cambria" w:hAnsi="Cambria"/>
          <w:b/>
          <w:bCs/>
        </w:rPr>
        <w:t xml:space="preserve">MECE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Proceso de elaboración de una norma UNE mediante Comités Técnicos de Normalización (</w:t>
      </w:r>
      <w:r>
        <w:rPr>
          <w:rFonts w:ascii="Cambria" w:hAnsi="Cambria"/>
          <w:b/>
          <w:bCs/>
        </w:rPr>
        <w:t xml:space="preserve">CTN</w:t>
      </w:r>
      <w:r>
        <w:rPr>
          <w:rFonts w:ascii="Cambria" w:hAnsi="Cambria"/>
        </w:rPr>
        <w:t xml:space="preserve">): trabajos preliminares, elaboración del proyecto, información pública en el </w:t>
      </w:r>
      <w:r>
        <w:rPr>
          <w:rFonts w:ascii="Cambria" w:hAnsi="Cambria"/>
          <w:b/>
          <w:bCs/>
        </w:rPr>
        <w:t xml:space="preserve">BOE</w:t>
      </w:r>
      <w:r>
        <w:rPr>
          <w:rFonts w:ascii="Cambria" w:hAnsi="Cambria"/>
        </w:rPr>
        <w:t xml:space="preserve">, aprobación por la Junta Directiva, y registro y difusión con publicación en el </w:t>
      </w:r>
      <w:r>
        <w:rPr>
          <w:rFonts w:ascii="Cambria" w:hAnsi="Cambria"/>
          <w:b/>
          <w:bCs/>
        </w:rPr>
        <w:t xml:space="preserve">BOE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 UNE: especificación técnica de aplicación repetitiva, no obligatoria, elaborada con participación de todas las partes.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Muchas normas UNE son transposición de normas </w:t>
      </w:r>
      <w:r>
        <w:rPr>
          <w:rFonts w:ascii="Cambria" w:hAnsi="Cambria"/>
          <w:b/>
          <w:bCs/>
        </w:rPr>
        <w:t xml:space="preserve">EN</w:t>
      </w:r>
      <w:r>
        <w:rPr>
          <w:rFonts w:ascii="Cambria" w:hAnsi="Cambria"/>
        </w:rPr>
        <w:t xml:space="preserve"> del CEN, ISO o IEC. Ejemplo histórico: la norma española </w:t>
      </w:r>
      <w:r>
        <w:rPr>
          <w:rFonts w:ascii="Cambria" w:hAnsi="Cambria"/>
          <w:b/>
          <w:bCs/>
        </w:rPr>
        <w:t xml:space="preserve">UNE 150301</w:t>
      </w:r>
      <w:r>
        <w:rPr>
          <w:rFonts w:ascii="Cambria" w:hAnsi="Cambria"/>
        </w:rPr>
        <w:t xml:space="preserve"> (2003) de ecodiseño dio origen a la norma internacional </w:t>
      </w:r>
      <w:r>
        <w:rPr>
          <w:rFonts w:ascii="Cambria" w:hAnsi="Cambria"/>
          <w:b/>
          <w:bCs/>
        </w:rPr>
        <w:t xml:space="preserve">UNE-EN ISO 14006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Ejemplo de esquema de calidad: </w:t>
      </w:r>
      <w:r>
        <w:rPr>
          <w:rFonts w:ascii="Cambria" w:hAnsi="Cambria"/>
          <w:b/>
          <w:bCs/>
        </w:rPr>
        <w:t xml:space="preserve">UNE-EN ISO/IEC 17020</w:t>
      </w:r>
      <w:r>
        <w:rPr>
          <w:rFonts w:ascii="Cambria" w:hAnsi="Cambria"/>
        </w:rPr>
        <w:t xml:space="preserve">, sobre requisitos para organismos de inspección.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OTROS ORGANISMOS DE CARÁCTER PRIVADO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Proliferación de organismos de buenas prácticas voluntarias, orientados a la calidad y a valores medioambientales, sociales o agrícolas.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GLOBAL-GAP</w:t>
      </w:r>
      <w:r>
        <w:rPr>
          <w:rFonts w:ascii="Cambria" w:hAnsi="Cambria"/>
        </w:rPr>
        <w:t xml:space="preserve">: hasta 2007 denominado EUREP-GAP, creado en </w:t>
      </w:r>
      <w:r>
        <w:rPr>
          <w:rFonts w:ascii="Cambria" w:hAnsi="Cambria"/>
          <w:b/>
          <w:bCs/>
        </w:rPr>
        <w:t xml:space="preserve">1997</w:t>
      </w:r>
      <w:r>
        <w:rPr>
          <w:rFonts w:ascii="Cambria" w:hAnsi="Cambria"/>
        </w:rPr>
        <w:t xml:space="preserve"> por distribuidores europeos. Desarrolla normas de buenas prácticas agrícolas (</w:t>
      </w:r>
      <w:r>
        <w:rPr>
          <w:rFonts w:ascii="Cambria" w:hAnsi="Cambria"/>
          <w:b/>
          <w:bCs/>
        </w:rPr>
        <w:t xml:space="preserve">GAP</w:t>
      </w:r>
      <w:r>
        <w:rPr>
          <w:rFonts w:ascii="Cambria" w:hAnsi="Cambria"/>
        </w:rPr>
        <w:t xml:space="preserve">) centradas en inocuidad, trazabilidad, bienestar laboral y medio ambiente, limitadas a la producción y manejo poscosecha en finca.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BRCGS</w:t>
      </w:r>
      <w:r>
        <w:rPr>
          <w:rFonts w:ascii="Cambria" w:hAnsi="Cambria"/>
        </w:rPr>
        <w:t xml:space="preserve">: creado en la década de </w:t>
      </w:r>
      <w:r>
        <w:rPr>
          <w:rFonts w:ascii="Cambria" w:hAnsi="Cambria"/>
          <w:b/>
          <w:bCs/>
        </w:rPr>
        <w:t xml:space="preserve">1990</w:t>
      </w:r>
      <w:r>
        <w:rPr>
          <w:rFonts w:ascii="Cambria" w:hAnsi="Cambria"/>
        </w:rPr>
        <w:t xml:space="preserve"> por el sector de la distribución del Reino Unido. Normas de seguridad alimentaria y buenas prácticas en envasado, almacenamiento, logística y distribución, hoy requisito habitual de los grandes distribuidores.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AINIA</w:t>
      </w:r>
      <w:r>
        <w:rPr>
          <w:rFonts w:ascii="Cambria" w:hAnsi="Cambria"/>
        </w:rPr>
        <w:t xml:space="preserve">: instituto tecnológico agroalimentario de Valencia, asociación privada sin ánimo de lucro creada en </w:t>
      </w:r>
      <w:r>
        <w:rPr>
          <w:rFonts w:ascii="Cambria" w:hAnsi="Cambria"/>
          <w:b/>
          <w:bCs/>
        </w:rPr>
        <w:t xml:space="preserve">1987</w:t>
      </w:r>
      <w:r>
        <w:rPr>
          <w:rFonts w:ascii="Cambria" w:hAnsi="Cambria"/>
        </w:rPr>
        <w:t xml:space="preserve"> junto con el </w:t>
      </w:r>
      <w:r>
        <w:rPr>
          <w:rFonts w:ascii="Cambria" w:hAnsi="Cambria"/>
          <w:b/>
          <w:bCs/>
        </w:rPr>
        <w:t xml:space="preserve">IMPIVA</w:t>
      </w:r>
      <w:r>
        <w:rPr>
          <w:rFonts w:ascii="Cambria" w:hAnsi="Cambria"/>
        </w:rPr>
        <w:t xml:space="preserve">, orientada a la innovación y la competitividad del sector agroalimentario.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sistema de normalización es estratificado y complementario: organismos internacionales gubernamentales (</w:t>
      </w:r>
      <w:r>
        <w:rPr>
          <w:rFonts w:ascii="Cambria" w:hAnsi="Cambria"/>
          <w:b/>
          <w:bCs/>
        </w:rPr>
        <w:t xml:space="preserve">OMSA/WOAH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CIPF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OMI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UIT</w:t>
      </w:r>
      <w:r>
        <w:rPr>
          <w:rFonts w:ascii="Cambria" w:hAnsi="Cambria"/>
        </w:rPr>
        <w:t xml:space="preserve">), no gubernamentales (</w:t>
      </w:r>
      <w:r>
        <w:rPr>
          <w:rFonts w:ascii="Cambria" w:hAnsi="Cambria"/>
          <w:b/>
          <w:bCs/>
        </w:rPr>
        <w:t xml:space="preserve">ISO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IEC</w:t>
      </w:r>
      <w:r>
        <w:rPr>
          <w:rFonts w:ascii="Cambria" w:hAnsi="Cambria"/>
        </w:rPr>
        <w:t xml:space="preserve">), regionales (</w:t>
      </w:r>
      <w:r>
        <w:rPr>
          <w:rFonts w:ascii="Cambria" w:hAnsi="Cambria"/>
          <w:b/>
          <w:bCs/>
        </w:rPr>
        <w:t xml:space="preserve">CEPE/NU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CEN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CENELEC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ETSI</w:t>
      </w:r>
      <w:r>
        <w:rPr>
          <w:rFonts w:ascii="Cambria" w:hAnsi="Cambria"/>
        </w:rPr>
        <w:t xml:space="preserve">) y nacional (</w:t>
      </w:r>
      <w:r>
        <w:rPr>
          <w:rFonts w:ascii="Cambria" w:hAnsi="Cambria"/>
          <w:b/>
          <w:bCs/>
        </w:rPr>
        <w:t xml:space="preserve">UNE</w:t>
      </w:r>
      <w:r>
        <w:rPr>
          <w:rFonts w:ascii="Cambria" w:hAnsi="Cambria"/>
        </w:rPr>
        <w:t xml:space="preserve">), todos orientados a facilitar el comercio mediante un lenguaje técnico común.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 ello se suman esquemas privados de buenas prácticas, como </w:t>
      </w:r>
      <w:r>
        <w:rPr>
          <w:rFonts w:ascii="Cambria" w:hAnsi="Cambria"/>
          <w:b/>
          <w:bCs/>
        </w:rPr>
        <w:t xml:space="preserve">GLOBAL-GAP</w:t>
      </w:r>
      <w:r>
        <w:rPr>
          <w:rFonts w:ascii="Cambria" w:hAnsi="Cambria"/>
        </w:rPr>
        <w:t xml:space="preserve"> o </w:t>
      </w:r>
      <w:r>
        <w:rPr>
          <w:rFonts w:ascii="Cambria" w:hAnsi="Cambria"/>
          <w:b/>
          <w:bCs/>
        </w:rPr>
        <w:t xml:space="preserve">BRCGS</w:t>
      </w:r>
      <w:r>
        <w:rPr>
          <w:rFonts w:ascii="Cambria" w:hAnsi="Cambria"/>
        </w:rPr>
        <w:t xml:space="preserve">, que en la práctica se han convertido en condición de acceso a determinados canales de distribución.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Conocer esta arquitectura completa resulta indispensable para el </w:t>
      </w:r>
      <w:r>
        <w:rPr>
          <w:rFonts w:ascii="Cambria" w:hAnsi="Cambria"/>
          <w:b/>
          <w:bCs/>
        </w:rPr>
        <w:t xml:space="preserve">Servicio de Inspección SOIVRE</w:t>
      </w:r>
      <w:r>
        <w:rPr>
          <w:rFonts w:ascii="Cambria" w:hAnsi="Cambria"/>
        </w:rPr>
        <w:t xml:space="preserve"> en el control de calidad comercial y de seguridad de los productos objeto de comercio exterior.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44 – Otros organismos internacionales, regionales y nacionales de normalización. La normalización en el ámbito privado. Especial referencia a ISO, CEN, CENELEC y AENOR. Protocolos y buenas prácticas: GLOBAL/GAP y otros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