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 el </w:t>
      </w:r>
      <w:r>
        <w:rPr>
          <w:rFonts w:ascii="Cambria" w:hAnsi="Cambria"/>
          <w:b/>
          <w:bCs/>
        </w:rPr>
        <w:t xml:space="preserve">Mercado Único Europeo</w:t>
      </w:r>
      <w:r>
        <w:rPr>
          <w:rFonts w:ascii="Cambria" w:hAnsi="Cambria"/>
        </w:rPr>
        <w:t xml:space="preserve"> (1993) y la eliminación de barreras interiores, es necesario un control en frontera de la seguridad y el etiquetado de los productos importados.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Seguridad y calidad están estrechamente vinculadas.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control de productos industriales, como el de los agroalimentarios, se ejerce en los puntos de entrada a la UE para impedir la comercialización de mercancías no conformes.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CONTROL OFICIAL DE PRODUCTOS INDUSTRIALES: LEGISLACIÓN COMUNITARIA Y NACIONAL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Legislación comunitaria y nacional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Legislación comunitaria</w:t>
      </w:r>
      <w:r>
        <w:rPr>
          <w:rFonts w:ascii="Cambria" w:hAnsi="Cambria"/>
        </w:rPr>
        <w:t xml:space="preserve">: el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 reguló la acreditación y la vigilancia del mercado, sustituido y reforzado en controles de entrada por el </w:t>
      </w: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, relativo a la vigilancia del mercado y la conformidad de los productos.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Legislación nacional</w:t>
      </w:r>
      <w:r>
        <w:rPr>
          <w:rFonts w:ascii="Cambria" w:hAnsi="Cambria"/>
        </w:rPr>
        <w:t xml:space="preserve">: el </w:t>
      </w: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 atribuye al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la evaluación de la seguridad de determinados productos industriales a la importación. Organismos competentes: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Departamento de Aduanas e Impuestos Especiales</w:t>
      </w:r>
      <w:r>
        <w:rPr>
          <w:rFonts w:ascii="Cambria" w:hAnsi="Cambria"/>
        </w:rPr>
        <w:t xml:space="preserve">, responsable de los controles de conformidad en la importación.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Dirección General de Consumo</w:t>
      </w:r>
      <w:r>
        <w:rPr>
          <w:rFonts w:ascii="Cambria" w:hAnsi="Cambria"/>
        </w:rPr>
        <w:t xml:space="preserve">, responsable de la seguridad general y punto de contacto de </w:t>
      </w:r>
      <w:r>
        <w:rPr>
          <w:rFonts w:ascii="Cambria" w:hAnsi="Cambria"/>
          <w:b/>
          <w:bCs/>
        </w:rPr>
        <w:t xml:space="preserve">Safety Gate</w:t>
      </w:r>
      <w:r>
        <w:rPr>
          <w:rFonts w:ascii="Cambria" w:hAnsi="Cambria"/>
        </w:rPr>
        <w:t xml:space="preserve"> (antiguo RAPEX) y de la red </w:t>
      </w:r>
      <w:r>
        <w:rPr>
          <w:rFonts w:ascii="Cambria" w:hAnsi="Cambria"/>
          <w:b/>
          <w:bCs/>
        </w:rPr>
        <w:t xml:space="preserve">SIRI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Anexo I del </w:t>
      </w: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, modificado por la </w:t>
      </w:r>
      <w:r>
        <w:rPr>
          <w:rFonts w:ascii="Cambria" w:hAnsi="Cambria"/>
          <w:b/>
          <w:bCs/>
        </w:rPr>
        <w:t xml:space="preserve">Orden PJC/161/2026</w:t>
      </w:r>
      <w:r>
        <w:rPr>
          <w:rFonts w:ascii="Cambria" w:hAnsi="Cambria"/>
        </w:rPr>
        <w:t xml:space="preserve">, agrupa 6 familias: textiles, calzado, juguetes, pequeño material eléctrico (PME), equipos de protección individual (EPI) y madera y muebles.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aduanas delegan la comprobación técnica en el SOIVRE para evitar duplicidad de controles.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Análisis de Riesgos (ESTACICE)</w:t>
      </w:r>
      <w:r>
        <w:rPr>
          <w:rFonts w:ascii="Cambria" w:hAnsi="Cambria"/>
        </w:rPr>
        <w:t xml:space="preserve"> deriva las solicitudes en tres circuitos: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Verde</w:t>
      </w:r>
      <w:r>
        <w:rPr>
          <w:rFonts w:ascii="Cambria" w:hAnsi="Cambria"/>
        </w:rPr>
        <w:t xml:space="preserve">: conformidad sin inspección previa.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Naranja</w:t>
      </w:r>
      <w:r>
        <w:rPr>
          <w:rFonts w:ascii="Cambria" w:hAnsi="Cambria"/>
        </w:rPr>
        <w:t xml:space="preserve"> (documental): verificación de documentación técnica, identificación del fabricante/importador y marcado CE, con Declaración UE de Conformidad y, en su caso, intervención de un </w:t>
      </w:r>
      <w:r>
        <w:rPr>
          <w:rFonts w:ascii="Cambria" w:hAnsi="Cambria"/>
          <w:b/>
          <w:bCs/>
        </w:rPr>
        <w:t xml:space="preserve">Organismo Notificado</w:t>
      </w:r>
      <w:r>
        <w:rPr>
          <w:rFonts w:ascii="Cambria" w:hAnsi="Cambria"/>
        </w:rPr>
        <w:t xml:space="preserve"> (base de datos </w:t>
      </w:r>
      <w:r>
        <w:rPr>
          <w:rFonts w:ascii="Cambria" w:hAnsi="Cambria"/>
          <w:b/>
          <w:bCs/>
        </w:rPr>
        <w:t xml:space="preserve">NANDO</w:t>
      </w:r>
      <w:r>
        <w:rPr>
          <w:rFonts w:ascii="Cambria" w:hAnsi="Cambria"/>
        </w:rPr>
        <w:t xml:space="preserve">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Rojo</w:t>
      </w:r>
      <w:r>
        <w:rPr>
          <w:rFonts w:ascii="Cambria" w:hAnsi="Cambria"/>
        </w:rPr>
        <w:t xml:space="preserve"> (físico): inspección y, si procede, toma de muestras para laboratorio acreditado.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Normas armonizadas</w:t>
      </w:r>
      <w:r>
        <w:rPr>
          <w:rFonts w:ascii="Cambria" w:hAnsi="Cambria"/>
        </w:rPr>
        <w:t xml:space="preserve">: técnicas españolas (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, de la Asociación Española de Normalización), europeas (</w:t>
      </w:r>
      <w:r>
        <w:rPr>
          <w:rFonts w:ascii="Cambria" w:hAnsi="Cambria"/>
          <w:b/>
          <w:bCs/>
        </w:rPr>
        <w:t xml:space="preserve">EN</w:t>
      </w:r>
      <w:r>
        <w:rPr>
          <w:rFonts w:ascii="Cambria" w:hAnsi="Cambria"/>
        </w:rPr>
        <w:t xml:space="preserve">, del CEN, CENELEC o ETSI) e internacionales (IEC/CEI, ISO). Una EN reconocida por la Comisión se publica en el DOUE y se adopta como UNE-EN.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Son voluntarias salvo declaración oficial de obligado cumplimiento (publicación íntegra en el BOE).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fabricante puede aplicar la norma armonizada o justificar la conformidad por medios propios, opción razonable solo si no existe norma.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Concepto de riesgo y control en frontera</w:t>
      </w:r>
      <w:r>
        <w:rPr>
          <w:rFonts w:ascii="Cambria" w:hAnsi="Cambria"/>
        </w:rPr>
        <w:t xml:space="preserve">: conforme al </w:t>
      </w: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 y al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, se suspende el despacho a libre práctica si hay riesgo grave, falta documentación o marcado, o el marcado CE es falso.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Producto inseguro</w:t>
      </w:r>
      <w:r>
        <w:rPr>
          <w:rFonts w:ascii="Cambria" w:hAnsi="Cambria"/>
        </w:rPr>
        <w:t xml:space="preserve">: sin marcas de conformidad, sin datos del responsable, o de un lote con peligro detectado.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Riesgo grave</w:t>
      </w:r>
      <w:r>
        <w:rPr>
          <w:rFonts w:ascii="Cambria" w:hAnsi="Cambria"/>
        </w:rPr>
        <w:t xml:space="preserve">: exige intervención rápida.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Producto no conforme</w:t>
      </w:r>
      <w:r>
        <w:rPr>
          <w:rFonts w:ascii="Cambria" w:hAnsi="Cambria"/>
        </w:rPr>
        <w:t xml:space="preserve">: incumple requisitos formales o técnicos.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Legislación general sobre seguridad de los productos industriales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2023/988</w:t>
      </w:r>
      <w:r>
        <w:rPr>
          <w:rFonts w:ascii="Cambria" w:hAnsi="Cambria"/>
        </w:rPr>
        <w:t xml:space="preserve">, sobre seguridad general de los productos, de aplicación directa desde el 13 de diciembre de 2024. Aspectos clave: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Obligación de que todo producto sea seguro, según sus características, etiquetado, advertencias y categorías de consumidores en riesgo.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Deberes de fabricantes, importadores y distribuidores, incluida la trazabilidad.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Etiquetado e identificación del fabricante e importador (nombre, dirección, tipo, lote o número de serie).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Obligaciones para el comercio electrónico y los marketplaces.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Red </w:t>
      </w:r>
      <w:r>
        <w:rPr>
          <w:rFonts w:ascii="Cambria" w:hAnsi="Cambria"/>
          <w:b/>
          <w:bCs/>
        </w:rPr>
        <w:t xml:space="preserve">Safety Gate</w:t>
      </w:r>
      <w:r>
        <w:rPr>
          <w:rFonts w:ascii="Cambria" w:hAnsi="Cambria"/>
        </w:rPr>
        <w:t xml:space="preserve">, con la Dirección General de Consumo como punto de contacto nacional y el SOIVRE informando de detecciones en frontera.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: designa al SOIVRE como organismo de vigilancia y control de productos industriales importados, sobre la base del análisis de riesgos.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Artículo 6</w:t>
      </w:r>
      <w:r>
        <w:rPr>
          <w:rFonts w:ascii="Cambria" w:hAnsi="Cambria"/>
        </w:rPr>
        <w:t xml:space="preserve">: resultado del control favorable emite el </w:t>
      </w:r>
      <w:r>
        <w:rPr>
          <w:rFonts w:ascii="Cambria" w:hAnsi="Cambria"/>
          <w:b/>
          <w:bCs/>
        </w:rPr>
        <w:t xml:space="preserve">Certificado de Conformidad SOIVRE</w:t>
      </w:r>
      <w:r>
        <w:rPr>
          <w:rFonts w:ascii="Cambria" w:hAnsi="Cambria"/>
        </w:rPr>
        <w:t xml:space="preserve">, si es desfavorable, se declara no conforme y se notifica al importador, si es subsanable, se autoriza el despacho mediante compromiso de no comercialización hasta la subsanación, verificada por las autoridades de vigilancia del mercado.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Artículo 7</w:t>
      </w:r>
      <w:r>
        <w:rPr>
          <w:rFonts w:ascii="Cambria" w:hAnsi="Cambria"/>
        </w:rPr>
        <w:t xml:space="preserve">: los recintos aduaneros e instalaciones autorizadas son los puntos de inspección.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Modificado por la </w:t>
      </w:r>
      <w:r>
        <w:rPr>
          <w:rFonts w:ascii="Cambria" w:hAnsi="Cambria"/>
          <w:b/>
          <w:bCs/>
        </w:rPr>
        <w:t xml:space="preserve">Orden PRE/735/2010</w:t>
      </w:r>
      <w:r>
        <w:rPr>
          <w:rFonts w:ascii="Cambria" w:hAnsi="Cambria"/>
        </w:rPr>
        <w:t xml:space="preserve">, que incorporó madera y muebles y amplió textiles, PME y juguetes.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Modificado por la </w:t>
      </w:r>
      <w:r>
        <w:rPr>
          <w:rFonts w:ascii="Cambria" w:hAnsi="Cambria"/>
          <w:b/>
          <w:bCs/>
        </w:rPr>
        <w:t xml:space="preserve">Orden PJC/161/2026</w:t>
      </w:r>
      <w:r>
        <w:rPr>
          <w:rFonts w:ascii="Cambria" w:hAnsi="Cambria"/>
        </w:rPr>
        <w:t xml:space="preserve">, en vigor desde el 4 de abril de 2026, que incorpora material eléctrico, productos de puericultura, EPI, mecheros y escaleras de mano, gestionados por la Ventanilla Única Aduanera (PUE COM), con exigencia del certificado desde el 18 de mayo de 2026.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1468/1988</w:t>
      </w:r>
      <w:r>
        <w:rPr>
          <w:rFonts w:ascii="Cambria" w:hAnsi="Cambria"/>
        </w:rPr>
        <w:t xml:space="preserve"> (modificado por el Real Decreto 1182/1989): reglamento de etiquetado, presentación y publicidad de productos industriales, norma marco horizontal y supletoria, salvo normativa específica de armonización.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820/1990</w:t>
      </w:r>
      <w:r>
        <w:rPr>
          <w:rFonts w:ascii="Cambria" w:hAnsi="Cambria"/>
        </w:rPr>
        <w:t xml:space="preserve">: prohíbe productos de apariencia engañosa peligrosos, sustituido materialmente desde diciembre de 2024 por el </w:t>
      </w:r>
      <w:r>
        <w:rPr>
          <w:rFonts w:ascii="Cambria" w:hAnsi="Cambria"/>
          <w:b/>
          <w:bCs/>
        </w:rPr>
        <w:t xml:space="preserve">Reglamento (UE) 2023/988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LEGISLACIÓN ESPECÍFICA POR SECTORES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Sector textil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sectorial: </w:t>
      </w:r>
      <w:r>
        <w:rPr>
          <w:rFonts w:ascii="Cambria" w:hAnsi="Cambria"/>
          <w:b/>
          <w:bCs/>
        </w:rPr>
        <w:t xml:space="preserve">Reglamento (UE) 1007/2011</w:t>
      </w:r>
      <w:r>
        <w:rPr>
          <w:rFonts w:ascii="Cambria" w:hAnsi="Cambria"/>
        </w:rPr>
        <w:t xml:space="preserve">, sobre denominaciones de fibras textiles y etiquetado de composición, desarrollado por el </w:t>
      </w:r>
      <w:r>
        <w:rPr>
          <w:rFonts w:ascii="Cambria" w:hAnsi="Cambria"/>
          <w:b/>
          <w:bCs/>
        </w:rPr>
        <w:t xml:space="preserve">Real Decreto 928/1987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técnicas: </w:t>
      </w:r>
      <w:r>
        <w:rPr>
          <w:rFonts w:ascii="Cambria" w:hAnsi="Cambria"/>
          <w:b/>
          <w:bCs/>
        </w:rPr>
        <w:t xml:space="preserve">UNE-EN 14682</w:t>
      </w:r>
      <w:r>
        <w:rPr>
          <w:rFonts w:ascii="Cambria" w:hAnsi="Cambria"/>
        </w:rPr>
        <w:t xml:space="preserve"> (cordones en ropa infantil hasta 14 años) y </w:t>
      </w:r>
      <w:r>
        <w:rPr>
          <w:rFonts w:ascii="Cambria" w:hAnsi="Cambria"/>
          <w:b/>
          <w:bCs/>
        </w:rPr>
        <w:t xml:space="preserve">UNE 40902</w:t>
      </w:r>
      <w:r>
        <w:rPr>
          <w:rFonts w:ascii="Cambria" w:hAnsi="Cambria"/>
        </w:rPr>
        <w:t xml:space="preserve"> (prendas de bebé hasta 3 años, no armonizada pero admitida como referencia).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Pautas de inspección: si es EPI, se aplica el </w:t>
      </w:r>
      <w:r>
        <w:rPr>
          <w:rFonts w:ascii="Cambria" w:hAnsi="Cambria"/>
          <w:b/>
          <w:bCs/>
        </w:rPr>
        <w:t xml:space="preserve">Reglamento (UE) 2016/425</w:t>
      </w:r>
      <w:r>
        <w:rPr>
          <w:rFonts w:ascii="Cambria" w:hAnsi="Cambria"/>
        </w:rPr>
        <w:t xml:space="preserve">, si no, debe identificarse al importador (No Conformidad Subsanable si falta), la composición y el NIF no son motivo de denegación, sino de Comunicación Informativa, el etiquetado debe figurar al menos en castellano (artículo 18.1 del Real Decreto Legislativo 1/2007), las prendas ordinarias no llevan marcado CE.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Sector del calzado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básica: </w:t>
      </w:r>
      <w:r>
        <w:rPr>
          <w:rFonts w:ascii="Cambria" w:hAnsi="Cambria"/>
          <w:b/>
          <w:bCs/>
        </w:rPr>
        <w:t xml:space="preserve">Real Decreto 1718/1995</w:t>
      </w:r>
      <w:r>
        <w:rPr>
          <w:rFonts w:ascii="Cambria" w:hAnsi="Cambria"/>
        </w:rPr>
        <w:t xml:space="preserve">, sobre etiquetado de materiales de los componentes principales del calzado, no exigible para el despacho (da lugar a Comunicación Informativa).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Excluye calzado usado, EPI, sujeto al Real Decreto 1406/1989 y con características de juguete.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Restricciones REACH (</w:t>
      </w:r>
      <w:r>
        <w:rPr>
          <w:rFonts w:ascii="Cambria" w:hAnsi="Cambria"/>
          <w:b/>
          <w:bCs/>
        </w:rPr>
        <w:t xml:space="preserve">Reglamento (CE) 1907/2006</w:t>
      </w:r>
      <w:r>
        <w:rPr>
          <w:rFonts w:ascii="Cambria" w:hAnsi="Cambria"/>
        </w:rPr>
        <w:t xml:space="preserve">): prohibición del </w:t>
      </w:r>
      <w:r>
        <w:rPr>
          <w:rFonts w:ascii="Cambria" w:hAnsi="Cambria"/>
          <w:b/>
          <w:bCs/>
        </w:rPr>
        <w:t xml:space="preserve">dimetilfumarato (DMF)</w:t>
      </w:r>
      <w:r>
        <w:rPr>
          <w:rFonts w:ascii="Cambria" w:hAnsi="Cambria"/>
        </w:rPr>
        <w:t xml:space="preserve"> y límite de </w:t>
      </w:r>
      <w:r>
        <w:rPr>
          <w:rFonts w:ascii="Cambria" w:hAnsi="Cambria"/>
          <w:b/>
          <w:bCs/>
        </w:rPr>
        <w:t xml:space="preserve">3 mg/kg</w:t>
      </w:r>
      <w:r>
        <w:rPr>
          <w:rFonts w:ascii="Cambria" w:hAnsi="Cambria"/>
        </w:rPr>
        <w:t xml:space="preserve"> de cromo VI en artículos de cuero.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Decisión (UE) 2016/1349</w:t>
      </w:r>
      <w:r>
        <w:rPr>
          <w:rFonts w:ascii="Cambria" w:hAnsi="Cambria"/>
        </w:rPr>
        <w:t xml:space="preserve">, sobre la Etiqueta Ecológica de la UE al calzado.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UNE 40902 con carácter orientativo para calzado infantil hasta 36 meses.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Equipos de Protección Individual (EPI)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marco: </w:t>
      </w:r>
      <w:r>
        <w:rPr>
          <w:rFonts w:ascii="Cambria" w:hAnsi="Cambria"/>
          <w:b/>
          <w:bCs/>
        </w:rPr>
        <w:t xml:space="preserve">Reglamento (UE) 2016/425</w:t>
      </w:r>
      <w:r>
        <w:rPr>
          <w:rFonts w:ascii="Cambria" w:hAnsi="Cambria"/>
        </w:rPr>
        <w:t xml:space="preserve">. Anexo I, categorías de riesgo: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Categoría I</w:t>
      </w:r>
      <w:r>
        <w:rPr>
          <w:rFonts w:ascii="Cambria" w:hAnsi="Cambria"/>
        </w:rPr>
        <w:t xml:space="preserve">: riesgos mínimos, evaluables por el propio usuario.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Categoría II</w:t>
      </w:r>
      <w:r>
        <w:rPr>
          <w:rFonts w:ascii="Cambria" w:hAnsi="Cambria"/>
        </w:rPr>
        <w:t xml:space="preserve">: riesgos intermedios, examen UE de tipo por Organismo Notificado.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Categoría III</w:t>
      </w:r>
      <w:r>
        <w:rPr>
          <w:rFonts w:ascii="Cambria" w:hAnsi="Cambria"/>
        </w:rPr>
        <w:t xml:space="preserve">: riesgos mortales o irreversibles, examen UE de tipo y control de producción por Organismo Notificado identificado.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773/1997</w:t>
      </w:r>
      <w:r>
        <w:rPr>
          <w:rFonts w:ascii="Cambria" w:hAnsi="Cambria"/>
        </w:rPr>
        <w:t xml:space="preserve">, sobre uso de EPI por los trabajadores.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técnicas: </w:t>
      </w:r>
      <w:r>
        <w:rPr>
          <w:rFonts w:ascii="Cambria" w:hAnsi="Cambria"/>
          <w:b/>
          <w:bCs/>
        </w:rPr>
        <w:t xml:space="preserve">UNE-EN ISO 21420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UNE-EN ISO 13688</w:t>
      </w:r>
      <w:r>
        <w:rPr>
          <w:rFonts w:ascii="Cambria" w:hAnsi="Cambria"/>
        </w:rPr>
        <w:t xml:space="preserve"> (textil). </w:t>
      </w:r>
      <w:r>
        <w:rPr>
          <w:rFonts w:ascii="Cambria" w:hAnsi="Cambria"/>
          <w:b/>
          <w:bCs/>
        </w:rPr>
        <w:t xml:space="preserve">UNE-EN ISO 20345, 20346 y 20347</w:t>
      </w:r>
      <w:r>
        <w:rPr>
          <w:rFonts w:ascii="Cambria" w:hAnsi="Cambria"/>
        </w:rPr>
        <w:t xml:space="preserve"> (calzado, según nivel de protección frente a impactos y compresión).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3.4. Sector de juguetes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vigente: </w:t>
      </w:r>
      <w:r>
        <w:rPr>
          <w:rFonts w:ascii="Cambria" w:hAnsi="Cambria"/>
          <w:b/>
          <w:bCs/>
        </w:rPr>
        <w:t xml:space="preserve">Directiva 2009/48/CE</w:t>
      </w:r>
      <w:r>
        <w:rPr>
          <w:rFonts w:ascii="Cambria" w:hAnsi="Cambria"/>
        </w:rPr>
        <w:t xml:space="preserve">, transpuesta por el </w:t>
      </w:r>
      <w:r>
        <w:rPr>
          <w:rFonts w:ascii="Cambria" w:hAnsi="Cambria"/>
          <w:b/>
          <w:bCs/>
        </w:rPr>
        <w:t xml:space="preserve">Real Decreto 1205/2011</w:t>
      </w:r>
      <w:r>
        <w:rPr>
          <w:rFonts w:ascii="Cambria" w:hAnsi="Cambria"/>
        </w:rPr>
        <w:t xml:space="preserve">, con listas de sustancias CMR y valores límite de migración para menores de 36 meses.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2025/2509</w:t>
      </w:r>
      <w:r>
        <w:rPr>
          <w:rFonts w:ascii="Cambria" w:hAnsi="Cambria"/>
        </w:rPr>
        <w:t xml:space="preserve">, sobre seguridad de los juguetes, sustituirá a la Directiva 2009/48/CE, en vigor parcial desde el 1 de enero de 2026 y plena desde el 1 de agosto de 2030. Novedades: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Prohibición de PFAS y restricción de disruptores endocrinos.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Pasaporte Digital de Producto (DPP)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Requisitos de ciberseguridad y protección de datos en juguetes conectados.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Aplicación supletoria del </w:t>
      </w:r>
      <w:r>
        <w:rPr>
          <w:rFonts w:ascii="Cambria" w:hAnsi="Cambria"/>
          <w:b/>
          <w:bCs/>
        </w:rPr>
        <w:t xml:space="preserve">Reglamento (UE) 2023/988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armonizadas: </w:t>
      </w:r>
      <w:r>
        <w:rPr>
          <w:rFonts w:ascii="Cambria" w:hAnsi="Cambria"/>
          <w:b/>
          <w:bCs/>
        </w:rPr>
        <w:t xml:space="preserve">UNE-EN 71-1</w:t>
      </w:r>
      <w:r>
        <w:rPr>
          <w:rFonts w:ascii="Cambria" w:hAnsi="Cambria"/>
        </w:rPr>
        <w:t xml:space="preserve"> (propiedades mecánicas y físicas), </w:t>
      </w:r>
      <w:r>
        <w:rPr>
          <w:rFonts w:ascii="Cambria" w:hAnsi="Cambria"/>
          <w:b/>
          <w:bCs/>
        </w:rPr>
        <w:t xml:space="preserve">UNE-EN 71-2</w:t>
      </w:r>
      <w:r>
        <w:rPr>
          <w:rFonts w:ascii="Cambria" w:hAnsi="Cambria"/>
        </w:rPr>
        <w:t xml:space="preserve"> (inflamabilidad), </w:t>
      </w:r>
      <w:r>
        <w:rPr>
          <w:rFonts w:ascii="Cambria" w:hAnsi="Cambria"/>
          <w:b/>
          <w:bCs/>
        </w:rPr>
        <w:t xml:space="preserve">UNE-EN 71-3</w:t>
      </w:r>
      <w:r>
        <w:rPr>
          <w:rFonts w:ascii="Cambria" w:hAnsi="Cambria"/>
        </w:rPr>
        <w:t xml:space="preserve"> (migración de elementos) y </w:t>
      </w:r>
      <w:r>
        <w:rPr>
          <w:rFonts w:ascii="Cambria" w:hAnsi="Cambria"/>
          <w:b/>
          <w:bCs/>
        </w:rPr>
        <w:t xml:space="preserve">UNE-EN 62115</w:t>
      </w:r>
      <w:r>
        <w:rPr>
          <w:rFonts w:ascii="Cambria" w:hAnsi="Cambria"/>
        </w:rPr>
        <w:t xml:space="preserve"> (juguetes eléctricos).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3.5. Pequeño material eléctrico (PME)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principal: </w:t>
      </w:r>
      <w:r>
        <w:rPr>
          <w:rFonts w:ascii="Cambria" w:hAnsi="Cambria"/>
          <w:b/>
          <w:bCs/>
        </w:rPr>
        <w:t xml:space="preserve">Real Decreto 187/2016</w:t>
      </w:r>
      <w:r>
        <w:rPr>
          <w:rFonts w:ascii="Cambria" w:hAnsi="Cambria"/>
        </w:rPr>
        <w:t xml:space="preserve">, que transpone la Directiva de Baja Tensión 2014/35/UE (LVD).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Dos marcados CE distintos: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Seguridad eléctrica (LVD)</w:t>
      </w:r>
      <w:r>
        <w:rPr>
          <w:rFonts w:ascii="Cambria" w:hAnsi="Cambria"/>
        </w:rPr>
        <w:t xml:space="preserve">: excluye bases y clavijas domésticas, que no llevan marcado CE por esta vía y se evalúan con la norma </w:t>
      </w:r>
      <w:r>
        <w:rPr>
          <w:rFonts w:ascii="Cambria" w:hAnsi="Cambria"/>
          <w:b/>
          <w:bCs/>
        </w:rPr>
        <w:t xml:space="preserve">UNE 20315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RoHS</w:t>
      </w:r>
      <w:r>
        <w:rPr>
          <w:rFonts w:ascii="Cambria" w:hAnsi="Cambria"/>
        </w:rPr>
        <w:t xml:space="preserve">: bases y clavijas sí llevan marcado CE por la Directiva 2011/65/UE, transpuesta por el </w:t>
      </w:r>
      <w:r>
        <w:rPr>
          <w:rFonts w:ascii="Cambria" w:hAnsi="Cambria"/>
          <w:b/>
          <w:bCs/>
        </w:rPr>
        <w:t xml:space="preserve">Real Decreto 219/2013</w:t>
      </w:r>
      <w:r>
        <w:rPr>
          <w:rFonts w:ascii="Cambria" w:hAnsi="Cambria"/>
        </w:rPr>
        <w:t xml:space="preserve">, con objetivo medioambiental.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Controles RAEE sobre </w:t>
      </w:r>
      <w:r>
        <w:rPr>
          <w:rFonts w:ascii="Cambria" w:hAnsi="Cambria"/>
          <w:b/>
          <w:bCs/>
        </w:rPr>
        <w:t xml:space="preserve">Real Decreto 110/2015</w:t>
      </w:r>
      <w:r>
        <w:rPr>
          <w:rFonts w:ascii="Cambria" w:hAnsi="Cambria"/>
        </w:rPr>
        <w:t xml:space="preserve">, derivado del Real Decreto 27/2021 y del Real Decreto 993/2022, con registro </w:t>
      </w:r>
      <w:r>
        <w:rPr>
          <w:rFonts w:ascii="Cambria" w:hAnsi="Cambria"/>
          <w:b/>
          <w:bCs/>
        </w:rPr>
        <w:t xml:space="preserve">RII-RAEE</w:t>
      </w:r>
      <w:r>
        <w:rPr>
          <w:rFonts w:ascii="Cambria" w:hAnsi="Cambria"/>
        </w:rPr>
        <w:t xml:space="preserve"> y símbolo del contenedor tachado, sin marcado CE asociado.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Completan el marco el </w:t>
      </w:r>
      <w:r>
        <w:rPr>
          <w:rFonts w:ascii="Cambria" w:hAnsi="Cambria"/>
          <w:b/>
          <w:bCs/>
        </w:rPr>
        <w:t xml:space="preserve">Real Decreto 842/2002 (REBT)</w:t>
      </w:r>
      <w:r>
        <w:rPr>
          <w:rFonts w:ascii="Cambria" w:hAnsi="Cambria"/>
        </w:rPr>
        <w:t xml:space="preserve"> y las normas </w:t>
      </w:r>
      <w:r>
        <w:rPr>
          <w:rFonts w:ascii="Cambria" w:hAnsi="Cambria"/>
          <w:b/>
          <w:bCs/>
        </w:rPr>
        <w:t xml:space="preserve">UNE-EN 60998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UNE-EN 61058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3.6. Sector de maderas y muebles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A) Productos de madera para construcción</w:t>
      </w:r>
      <w:r>
        <w:rPr>
          <w:rFonts w:ascii="Cambria" w:hAnsi="Cambria"/>
        </w:rPr>
        <w:t xml:space="preserve">: aplica el </w:t>
      </w:r>
      <w:r>
        <w:rPr>
          <w:rFonts w:ascii="Cambria" w:hAnsi="Cambria"/>
          <w:b/>
          <w:bCs/>
        </w:rPr>
        <w:t xml:space="preserve">Reglamento (UE) 305/2011</w:t>
      </w:r>
      <w:r>
        <w:rPr>
          <w:rFonts w:ascii="Cambria" w:hAnsi="Cambria"/>
        </w:rPr>
        <w:t xml:space="preserve">, que exige marcado CE y Declaración de Prestaciones cuando exista norma armonizada (</w:t>
      </w:r>
      <w:r>
        <w:rPr>
          <w:rFonts w:ascii="Cambria" w:hAnsi="Cambria"/>
          <w:b/>
          <w:bCs/>
        </w:rPr>
        <w:t xml:space="preserve">UNE-EN 13986, 14342, 14915</w:t>
      </w:r>
      <w:r>
        <w:rPr>
          <w:rFonts w:ascii="Cambria" w:hAnsi="Cambria"/>
        </w:rPr>
        <w:t xml:space="preserve">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2023/1115 (EUDR)</w:t>
      </w:r>
      <w:r>
        <w:rPr>
          <w:rFonts w:ascii="Cambria" w:hAnsi="Cambria"/>
        </w:rPr>
        <w:t xml:space="preserve">, sobre productos libres de deforestación, con obligaciones aplazadas por el Reglamento (UE) 2025/2650 hasta el 30 de diciembre de 2026 (grandes y medianas empresas) y el 30 de junio de 2027 (micro y pequeñas).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B) Muebles</w:t>
      </w:r>
      <w:r>
        <w:rPr>
          <w:rFonts w:ascii="Cambria" w:hAnsi="Cambria"/>
        </w:rPr>
        <w:t xml:space="preserve">: sin directiva o reglamento específico, se rigen por el </w:t>
      </w:r>
      <w:r>
        <w:rPr>
          <w:rFonts w:ascii="Cambria" w:hAnsi="Cambria"/>
          <w:b/>
          <w:bCs/>
        </w:rPr>
        <w:t xml:space="preserve">Reglamento (UE) 2023/988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Real Decreto 1468/1988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 llevan marcado CE salvo componentes motorizados o eléctricos.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Etiquetado con identificación del importador, referencia del modelo e instrucciones en castellano, y advertencias en muebles infantiles.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técnicas: </w:t>
      </w:r>
      <w:r>
        <w:rPr>
          <w:rFonts w:ascii="Cambria" w:hAnsi="Cambria"/>
          <w:b/>
          <w:bCs/>
        </w:rPr>
        <w:t xml:space="preserve">UNE-EN 1130, UNE-EN 716 y UNE-EN 16139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C) Sustancias químicas</w:t>
      </w:r>
      <w:r>
        <w:rPr>
          <w:rFonts w:ascii="Cambria" w:hAnsi="Cambria"/>
        </w:rPr>
        <w:t xml:space="preserve">: el límite de emisión de formaldehído se rige por el </w:t>
      </w:r>
      <w:r>
        <w:rPr>
          <w:rFonts w:ascii="Cambria" w:hAnsi="Cambria"/>
          <w:b/>
          <w:bCs/>
        </w:rPr>
        <w:t xml:space="preserve">Reglamento (UE) 2023/1464</w:t>
      </w:r>
      <w:r>
        <w:rPr>
          <w:rFonts w:ascii="Cambria" w:hAnsi="Cambria"/>
        </w:rPr>
        <w:t xml:space="preserve">, que modifica el Anexo XVII de REACH y lo fija en </w:t>
      </w:r>
      <w:r>
        <w:rPr>
          <w:rFonts w:ascii="Cambria" w:hAnsi="Cambria"/>
          <w:b/>
          <w:bCs/>
        </w:rPr>
        <w:t xml:space="preserve">0,062 mg/m³</w:t>
      </w:r>
      <w:r>
        <w:rPr>
          <w:rFonts w:ascii="Cambria" w:hAnsi="Cambria"/>
        </w:rPr>
        <w:t xml:space="preserve">. Aplican también restricciones REACH sobre cadmio, plomo y creosota, y la prohibición del DMF por el </w:t>
      </w:r>
      <w:r>
        <w:rPr>
          <w:rFonts w:ascii="Cambria" w:hAnsi="Cambria"/>
          <w:b/>
          <w:bCs/>
        </w:rPr>
        <w:t xml:space="preserve">Reglamento (UE) 412/2012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NUEVO MARCO LEGISLATIVO EUROPEO PARA LA COMERCIALIZACIÓN DE PRODUCTOS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9 de julio de 2008 se adoptó el </w:t>
      </w:r>
      <w:r>
        <w:rPr>
          <w:rFonts w:ascii="Cambria" w:hAnsi="Cambria"/>
          <w:b/>
          <w:bCs/>
        </w:rPr>
        <w:t xml:space="preserve">Paquete Ayral</w:t>
      </w:r>
      <w:r>
        <w:rPr>
          <w:rFonts w:ascii="Cambria" w:hAnsi="Cambria"/>
        </w:rPr>
        <w:t xml:space="preserve">, formado por dos reglamentos y una decisión.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Respondió a la debilidad del Nuevo Enfoque: falta de herramientas para vigilar el producto tras obtener el marcado CE.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Nuevo Marco Legislativo (NML)</w:t>
      </w:r>
      <w:r>
        <w:rPr>
          <w:rFonts w:ascii="Cambria" w:hAnsi="Cambria"/>
        </w:rPr>
        <w:t xml:space="preserve"> amplía el control a todo el ciclo de vida comercial del producto, con tres pilares: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Delimitación de responsabilidades entre fabricante, representante autorizado, importador y distribuidor, con responsabilidad objetiva si el distribuidor o importador modifica sustancialmente el producto o lo comercializa con su propia marca.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Diferenciación de las funciones de autoridad de notificación, autoridad de acreditación (en España,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), autoridades de vigilancia del mercado y autoridades de control en frontera.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Desplazamiento del foco de la "introducción en el mercado" a la "puesta a disposición", ampliando la trazabilidad a toda la cadena de distribución.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Instrumentos normativos: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, sobre acreditación y vigilancia del mercado, actualizado en controles de entrada por el </w:t>
      </w: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, que creó el sistema </w:t>
      </w:r>
      <w:r>
        <w:rPr>
          <w:rFonts w:ascii="Cambria" w:hAnsi="Cambria"/>
          <w:b/>
          <w:bCs/>
        </w:rPr>
        <w:t xml:space="preserve">ICSMS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Decisión 768/2008/CE</w:t>
      </w:r>
      <w:r>
        <w:rPr>
          <w:rFonts w:ascii="Cambria" w:hAnsi="Cambria"/>
        </w:rPr>
        <w:t xml:space="preserve">, marco común para la comercialización de productos, con módulos de evaluación de la conformidad (A a H) y criterios para los Organismos Notificados.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2019/515</w:t>
      </w:r>
      <w:r>
        <w:rPr>
          <w:rFonts w:ascii="Cambria" w:hAnsi="Cambria"/>
        </w:rPr>
        <w:t xml:space="preserve">, sobre reconocimiento mutuo de mercancías legalmente comercializadas en otro Estado Miembro, que sustituye al Reglamento (CE) 764/2008. El SOIVRE es el Punto de Contacto de Productos en España.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SOIVRE controla la seguridad en frontera conforme al </w:t>
      </w: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 y sus ampliaciones, mientras la </w:t>
      </w:r>
      <w:r>
        <w:rPr>
          <w:rFonts w:ascii="Cambria" w:hAnsi="Cambria"/>
          <w:b/>
          <w:bCs/>
        </w:rPr>
        <w:t xml:space="preserve">Dirección General de Consumo</w:t>
      </w:r>
      <w:r>
        <w:rPr>
          <w:rFonts w:ascii="Cambria" w:hAnsi="Cambria"/>
        </w:rPr>
        <w:t xml:space="preserve"> vigila el mercado interior y actúa como punto de contacto de </w:t>
      </w:r>
      <w:r>
        <w:rPr>
          <w:rFonts w:ascii="Cambria" w:hAnsi="Cambria"/>
          <w:b/>
          <w:bCs/>
        </w:rPr>
        <w:t xml:space="preserve">Safety Gate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marco jurídico evoluciona hacia reglamentos de aplicación directa frente a directivas, como muestran la sustitución de los Reales Decretos 1801/2003 y 820/1990 por el </w:t>
      </w:r>
      <w:r>
        <w:rPr>
          <w:rFonts w:ascii="Cambria" w:hAnsi="Cambria"/>
          <w:b/>
          <w:bCs/>
        </w:rPr>
        <w:t xml:space="preserve">Reglamento (UE) 2023/988</w:t>
      </w:r>
      <w:r>
        <w:rPr>
          <w:rFonts w:ascii="Cambria" w:hAnsi="Cambria"/>
        </w:rPr>
        <w:t xml:space="preserve">, y la próxima sustitución de la Directiva 2009/48/CE por el </w:t>
      </w:r>
      <w:r>
        <w:rPr>
          <w:rFonts w:ascii="Cambria" w:hAnsi="Cambria"/>
          <w:b/>
          <w:bCs/>
        </w:rPr>
        <w:t xml:space="preserve">Reglamento (UE) 2025/2509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Orden PJC/161/2026</w:t>
      </w:r>
      <w:r>
        <w:rPr>
          <w:rFonts w:ascii="Cambria" w:hAnsi="Cambria"/>
        </w:rPr>
        <w:t xml:space="preserve"> amplía de nuevo el catálogo de productos sujetos a control, consolidando el análisis de riesgos como núcleo del trabajo diario del SOIVRE.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46 – Control oficial de productos industriales procedentes de terceros países. Legislación comunitaria y nacional. Nuevo Marco Legislativo europeo para la comercialización de productos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