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calidad</w:t>
      </w:r>
      <w:r>
        <w:rPr>
          <w:rFonts w:ascii="Cambria" w:hAnsi="Cambria"/>
        </w:rPr>
        <w:t xml:space="preserve"> no admite una definición única, dada su subjetividad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distingue entre </w:t>
      </w:r>
      <w:r>
        <w:rPr>
          <w:rFonts w:ascii="Cambria" w:hAnsi="Cambria"/>
          <w:b/>
          <w:bCs/>
        </w:rPr>
        <w:t xml:space="preserve">calidad sanitaria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calidad comercial puede tener consecuencias comerciales relevantes aun cuando el producto sea seguro sanitariamente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se centra en la calidad comercial, su evaluación y certificación, los servicios oficiales de control (en especial los </w:t>
      </w:r>
      <w:r>
        <w:rPr>
          <w:rFonts w:ascii="Cambria" w:hAnsi="Cambria"/>
          <w:b/>
          <w:bCs/>
        </w:rPr>
        <w:t xml:space="preserve">Servicios de Inspección SOIVRE</w:t>
      </w:r>
      <w:r>
        <w:rPr>
          <w:rFonts w:ascii="Cambria" w:hAnsi="Cambria"/>
        </w:rPr>
        <w:t xml:space="preserve">) y las normas de comercialización comunitarias e internacionales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Conjunto de factores y parámetros, externos e internos, que debe cumplir un producto para estar en los circuitos comerciales y satisfacer al mercado de destino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Calidad comercial externa</w:t>
      </w:r>
      <w:r>
        <w:rPr>
          <w:rFonts w:ascii="Cambria" w:hAnsi="Cambria"/>
        </w:rPr>
        <w:t xml:space="preserve">: características aparentes (forma, tamaño, color, defectos superficiales, frescura, firmeza), evaluada mediante ensayos no destructivos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Calidad comercial interna</w:t>
      </w:r>
      <w:r>
        <w:rPr>
          <w:rFonts w:ascii="Cambria" w:hAnsi="Cambria"/>
        </w:rPr>
        <w:t xml:space="preserve">: factores de madurez apreciables internamente o por cata (aroma, sabor), requiere ensayos destructivos (azúcares, ácidos, grasa)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Estos requisitos se recogen en las </w:t>
      </w:r>
      <w:r>
        <w:rPr>
          <w:rFonts w:ascii="Cambria" w:hAnsi="Cambria"/>
          <w:b/>
          <w:bCs/>
        </w:rPr>
        <w:t xml:space="preserve">Normas de Comercialización de la UE</w:t>
      </w:r>
      <w:r>
        <w:rPr>
          <w:rFonts w:ascii="Cambria" w:hAnsi="Cambria"/>
        </w:rPr>
        <w:t xml:space="preserve">, antes llamadas Normas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Acuerdo sobre Obstáculos Técnicos al Comercio (OTC/TBT)</w:t>
      </w:r>
      <w:r>
        <w:rPr>
          <w:rFonts w:ascii="Cambria" w:hAnsi="Cambria"/>
        </w:rPr>
        <w:t xml:space="preserve"> de la OMC define norma como el documento aprobado por una institución reconocida que prevé reglas, directrices o características de observancia no obligatoria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normalización internacional facilita el comercio al crear un lenguaje común entre fabricantes, administraciones y consumidores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EVALUACIÓN Y CERTIFICACIÓN DE LA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certificación garantiza la adecuación a la norma, la competencia leal, la eliminación de productos de escasa calidad, los derechos de los consumidores y la facilitación de las relaciones comerciales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Evaluación subjetiva</w:t>
      </w:r>
      <w:r>
        <w:rPr>
          <w:rFonts w:ascii="Cambria" w:hAnsi="Cambria"/>
        </w:rPr>
        <w:t xml:space="preserve">: sensorial, a través de los órganos de los sentidos, para caracteres organolépticos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Evaluación objetiva</w:t>
      </w:r>
      <w:r>
        <w:rPr>
          <w:rFonts w:ascii="Cambria" w:hAnsi="Cambria"/>
        </w:rPr>
        <w:t xml:space="preserve">: métodos físicos (calibradores, reglas) o químicos/bioquímicos (madurez, constituyentes)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Dos enfoques: </w:t>
      </w:r>
      <w:r>
        <w:rPr>
          <w:rFonts w:ascii="Cambria" w:hAnsi="Cambria"/>
          <w:b/>
          <w:bCs/>
        </w:rPr>
        <w:t xml:space="preserve">control oficial</w:t>
      </w:r>
      <w:r>
        <w:rPr>
          <w:rFonts w:ascii="Cambria" w:hAnsi="Cambria"/>
        </w:rPr>
        <w:t xml:space="preserve">, impuesto por la legislación, y </w:t>
      </w:r>
      <w:r>
        <w:rPr>
          <w:rFonts w:ascii="Cambria" w:hAnsi="Cambria"/>
          <w:b/>
          <w:bCs/>
        </w:rPr>
        <w:t xml:space="preserve">certificación voluntaria</w:t>
      </w:r>
      <w:r>
        <w:rPr>
          <w:rFonts w:ascii="Cambria" w:hAnsi="Cambria"/>
        </w:rPr>
        <w:t xml:space="preserve">, para valorizar el producto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Control oficial de la calidad comercial. Servicios oficiales de control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Tres organismos de control de productos alimentarios en comercio exterior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Servicios de Inspección SOIVRE</w:t>
      </w:r>
      <w:r>
        <w:rPr>
          <w:rFonts w:ascii="Cambria" w:hAnsi="Cambria"/>
        </w:rPr>
        <w:t xml:space="preserve">, de la Subdirección General de Inspección, Certificación y Asistencia Técnica del Comercio Exterior, dentro de la Dirección General de Política Comercial y Seguridad Económica, de la Secretaría de Estado de Comercio del </w:t>
      </w:r>
      <w:r>
        <w:rPr>
          <w:rFonts w:ascii="Cambria" w:hAnsi="Cambria"/>
          <w:b/>
          <w:bCs/>
        </w:rPr>
        <w:t xml:space="preserve">MECE</w:t>
      </w:r>
      <w:r>
        <w:rPr>
          <w:rFonts w:ascii="Cambria" w:hAnsi="Cambria"/>
        </w:rPr>
        <w:t xml:space="preserve">. Integrado por el Cuerpo de Inspectores (A1) y el Cuerpo de Ingenieros Técnicos (A2) del SOIVRE, certifican el cumplimiento de las normas de comercialización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Subdirección General de Sanidad Exterior</w:t>
      </w:r>
      <w:r>
        <w:rPr>
          <w:rFonts w:ascii="Cambria" w:hAnsi="Cambria"/>
        </w:rPr>
        <w:t xml:space="preserve">, del Ministerio de Sanidad, determina la aptitud para el consumo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Subdirección General de Acuerdos Sanitarios y Control en Frontera</w:t>
      </w:r>
      <w:r>
        <w:rPr>
          <w:rFonts w:ascii="Cambria" w:hAnsi="Cambria"/>
        </w:rPr>
        <w:t xml:space="preserve">, del </w:t>
      </w:r>
      <w:r>
        <w:rPr>
          <w:rFonts w:ascii="Cambria" w:hAnsi="Cambria"/>
          <w:b/>
          <w:bCs/>
        </w:rPr>
        <w:t xml:space="preserve">MAPA</w:t>
      </w:r>
      <w:r>
        <w:rPr>
          <w:rFonts w:ascii="Cambria" w:hAnsi="Cambria"/>
        </w:rPr>
        <w:t xml:space="preserve">, evita la propagación de plagas vegetales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(Servicio Oficial de Inspección, Vigilancia y Regulación del Comercio Exterior) es el organismo nacional responsable del control de la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Sus funciones se recogen en la </w:t>
      </w: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 (anexos actualizados por las Órdenes </w:t>
      </w:r>
      <w:r>
        <w:rPr>
          <w:rFonts w:ascii="Cambria" w:hAnsi="Cambria"/>
          <w:b/>
          <w:bCs/>
        </w:rPr>
        <w:t xml:space="preserve">ECC/2257/2013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ECC/2566/2015</w:t>
      </w:r>
      <w:r>
        <w:rPr>
          <w:rFonts w:ascii="Cambria" w:hAnsi="Cambria"/>
        </w:rPr>
        <w:t xml:space="preserve">) y en el </w:t>
      </w: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, entre otras disposiciones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Funciones del SOIVRE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Inspección, control de calidad comercial y seguridad</w:t>
      </w:r>
      <w:r>
        <w:rPr>
          <w:rFonts w:ascii="Cambria" w:hAnsi="Cambria"/>
        </w:rPr>
        <w:t xml:space="preserve"> de productos agroalimentarios e industriales de comercio exterior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Desde 1989, mediante la Orden Ministerial de 31 de julio de 1989, controla el cumplimiento de las Normas de Comercialización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inspección se realiza en Puntos de Inspección Fronterizos (</w:t>
      </w:r>
      <w:r>
        <w:rPr>
          <w:rFonts w:ascii="Cambria" w:hAnsi="Cambria"/>
          <w:b/>
          <w:bCs/>
        </w:rPr>
        <w:t xml:space="preserve">PIF</w:t>
      </w:r>
      <w:r>
        <w:rPr>
          <w:rFonts w:ascii="Cambria" w:hAnsi="Cambria"/>
        </w:rPr>
        <w:t xml:space="preserve">), recintos aduaneros o instalaciones del operador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Resolución de 11 de abril de 2006</w:t>
      </w:r>
      <w:r>
        <w:rPr>
          <w:rFonts w:ascii="Cambria" w:hAnsi="Cambria"/>
        </w:rPr>
        <w:t xml:space="preserve"> amplió el horario de determinados PIF a 24 horas todos los días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Deben notificarse las operaciones sujetas a control, salvo expediciones sin carácter comercial o exentas según el </w:t>
      </w:r>
      <w:r>
        <w:rPr>
          <w:rFonts w:ascii="Cambria" w:hAnsi="Cambria"/>
          <w:b/>
          <w:bCs/>
        </w:rPr>
        <w:t xml:space="preserve">Reglamento Delegado (UE) 2023/2429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mercancía conforme obtiene el </w:t>
      </w:r>
      <w:r>
        <w:rPr>
          <w:rFonts w:ascii="Cambria" w:hAnsi="Cambria"/>
          <w:b/>
          <w:bCs/>
        </w:rPr>
        <w:t xml:space="preserve">Certificado de Control de Calidad Comercial SOIVRE</w:t>
      </w:r>
      <w:r>
        <w:rPr>
          <w:rFonts w:ascii="Cambria" w:hAnsi="Cambria"/>
        </w:rPr>
        <w:t xml:space="preserve"> o el </w:t>
      </w:r>
      <w:r>
        <w:rPr>
          <w:rFonts w:ascii="Cambria" w:hAnsi="Cambria"/>
          <w:b/>
          <w:bCs/>
        </w:rPr>
        <w:t xml:space="preserve">Certificado CEE/SOIVRE</w:t>
      </w:r>
      <w:r>
        <w:rPr>
          <w:rFonts w:ascii="Cambria" w:hAnsi="Cambria"/>
        </w:rPr>
        <w:t xml:space="preserve">, y la no conforme, un </w:t>
      </w:r>
      <w:r>
        <w:rPr>
          <w:rFonts w:ascii="Cambria" w:hAnsi="Cambria"/>
          <w:b/>
          <w:bCs/>
        </w:rPr>
        <w:t xml:space="preserve">Acta de No Conformidad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Existen acuerdos de colaboración con servicios de control extranjeros (Canadá, Estados Unidos, Francia, Taiwán) que reconocen la equivalencia de los controles SOIVRE en origen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Cooperación con el </w:t>
      </w:r>
      <w:r>
        <w:rPr>
          <w:rFonts w:ascii="Cambria" w:hAnsi="Cambria"/>
          <w:b/>
          <w:bCs/>
        </w:rPr>
        <w:t xml:space="preserve">ICEX</w:t>
      </w:r>
      <w:r>
        <w:rPr>
          <w:rFonts w:ascii="Cambria" w:hAnsi="Cambria"/>
        </w:rPr>
        <w:t xml:space="preserve"> en campañas de promoción de productos españoles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control de frutas y hortalizas a Estados Miembros se rige por el </w:t>
      </w:r>
      <w:r>
        <w:rPr>
          <w:rFonts w:ascii="Cambria" w:hAnsi="Cambria"/>
          <w:b/>
          <w:bCs/>
        </w:rPr>
        <w:t xml:space="preserve">Reglamento Delegado (UE) 2023/2429</w:t>
      </w:r>
      <w:r>
        <w:rPr>
          <w:rFonts w:ascii="Cambria" w:hAnsi="Cambria"/>
        </w:rPr>
        <w:t xml:space="preserve"> y su </w:t>
      </w:r>
      <w:r>
        <w:rPr>
          <w:rFonts w:ascii="Cambria" w:hAnsi="Cambria"/>
          <w:b/>
          <w:bCs/>
        </w:rPr>
        <w:t xml:space="preserve">Reglamento de Ejecución (UE) 2023/2430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 (Anexo I modificado por la Orden PRE/735/2010 y la Orden PJC/161/2026) extendió las competencias a productos industriales (calzado, textil, juguetes, material eléctrico, EPI, muebles y madera)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Asistencia técnica al exportador</w:t>
      </w:r>
      <w:r>
        <w:rPr>
          <w:rFonts w:ascii="Cambria" w:hAnsi="Cambria"/>
        </w:rPr>
        <w:t xml:space="preserve"> frente a Obstáculos Técnicos al Comercio (OTC)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el Mercado Único: remoción de obstáculos, el Proyecto Línea Abierta con la </w:t>
      </w:r>
      <w:r>
        <w:rPr>
          <w:rFonts w:ascii="Cambria" w:hAnsi="Cambria"/>
          <w:b/>
          <w:bCs/>
        </w:rPr>
        <w:t xml:space="preserve">CEOE</w:t>
      </w:r>
      <w:r>
        <w:rPr>
          <w:rFonts w:ascii="Cambria" w:hAnsi="Cambria"/>
        </w:rPr>
        <w:t xml:space="preserve"> desde 1993, y punto de contacto de la </w:t>
      </w:r>
      <w:r>
        <w:rPr>
          <w:rFonts w:ascii="Cambria" w:hAnsi="Cambria"/>
          <w:b/>
          <w:bCs/>
        </w:rPr>
        <w:t xml:space="preserve">Directiva (UE) 2015/1535</w:t>
      </w:r>
      <w:r>
        <w:rPr>
          <w:rFonts w:ascii="Cambria" w:hAnsi="Cambria"/>
        </w:rPr>
        <w:t xml:space="preserve">, en relación con la </w:t>
      </w:r>
      <w:r>
        <w:rPr>
          <w:rFonts w:ascii="Cambria" w:hAnsi="Cambria"/>
          <w:b/>
          <w:bCs/>
        </w:rPr>
        <w:t xml:space="preserve">ANFE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 terceros países: punto de contacto y notificación del Acuerdo OTC y del Acuerdo MSF de la OMC, con representación en sus Comités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Participación en la Política Comercial Común</w:t>
      </w:r>
      <w:r>
        <w:rPr>
          <w:rFonts w:ascii="Cambria" w:hAnsi="Cambria"/>
        </w:rPr>
        <w:t xml:space="preserve">, en el Comité de Política Comercial (antes Comité 133), y en los Acuerdos de Reconocimiento Mutuo (ARM) con socios como Estados Unidos, Canadá, Australia, Nueva Zelanda, Suiza, Japón e Israel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Colaboración en promoción comercial</w:t>
      </w:r>
      <w:r>
        <w:rPr>
          <w:rFonts w:ascii="Cambria" w:hAnsi="Cambria"/>
        </w:rPr>
        <w:t xml:space="preserve">, desde 1994, mediante certificados de conformidad, boletines de análisis e informes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Normalización</w:t>
      </w:r>
      <w:r>
        <w:rPr>
          <w:rFonts w:ascii="Cambria" w:hAnsi="Cambria"/>
        </w:rPr>
        <w:t xml:space="preserve">, con participación en el WP.7 de la CEPE/NU, el REN de la OCM Única, el Régimen de la OCDE, los Comités del CODEX y los Comités Técnicos de AENOR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Inspección y control CITES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Autoridad Administrativa CITES corresponde al </w:t>
      </w:r>
      <w:r>
        <w:rPr>
          <w:rFonts w:ascii="Cambria" w:hAnsi="Cambria"/>
          <w:b/>
          <w:bCs/>
        </w:rPr>
        <w:t xml:space="preserve">MITECO</w:t>
      </w:r>
      <w:r>
        <w:rPr>
          <w:rFonts w:ascii="Cambria" w:hAnsi="Cambria"/>
        </w:rPr>
        <w:t xml:space="preserve"> y la Autoridad Científica al </w:t>
      </w:r>
      <w:r>
        <w:rPr>
          <w:rFonts w:ascii="Cambria" w:hAnsi="Cambria"/>
          <w:b/>
          <w:bCs/>
        </w:rPr>
        <w:t xml:space="preserve">CSIC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Mediante encomienda de gestión con el MITECO (plazo hasta el 28 de enero de 2027), el SOIVRE ejecuta las verificaciones en frontera y expide los </w:t>
      </w:r>
      <w:r>
        <w:rPr>
          <w:rFonts w:ascii="Cambria" w:hAnsi="Cambria"/>
          <w:b/>
          <w:bCs/>
        </w:rPr>
        <w:t xml:space="preserve">DIESAC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Existen 12 puntos autorizados para especímenes CITES y otros puntos adicionales para maderas CITES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Red de Laboratorios del SOIVRE</w:t>
      </w:r>
      <w:r>
        <w:rPr>
          <w:rFonts w:ascii="Cambria" w:hAnsi="Cambria"/>
        </w:rPr>
        <w:t xml:space="preserve">, coordinada por el Centro Analítico de Inspección y Control de Calidad del Comercio Exterior, con 17 laboratorios (16 periféricos y el Central en Madrid), algunos con acreditación </w:t>
      </w:r>
      <w:r>
        <w:rPr>
          <w:rFonts w:ascii="Cambria" w:hAnsi="Cambria"/>
          <w:b/>
          <w:bCs/>
        </w:rPr>
        <w:t xml:space="preserve">ENAC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Actuaciones en regulación y modernización del comercio interior</w:t>
      </w:r>
      <w:r>
        <w:rPr>
          <w:rFonts w:ascii="Cambria" w:hAnsi="Cambria"/>
        </w:rPr>
        <w:t xml:space="preserve">, en colaboración con otros ministerios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Recogida y análisis de precios internacionales y nacionales</w:t>
      </w:r>
      <w:r>
        <w:rPr>
          <w:rFonts w:ascii="Cambria" w:hAnsi="Cambria"/>
        </w:rPr>
        <w:t xml:space="preserve">, función en desuso por el auge de internet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Sistemas voluntarios de certificación de calidad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Distintivos de calidad diferenciada</w:t>
      </w:r>
      <w:r>
        <w:rPr>
          <w:rFonts w:ascii="Cambria" w:hAnsi="Cambria"/>
        </w:rPr>
        <w:t xml:space="preserve">: DOP, IGP y ETG, creados por la UE en 1992, regulados por el </w:t>
      </w:r>
      <w:r>
        <w:rPr>
          <w:rFonts w:ascii="Cambria" w:hAnsi="Cambria"/>
          <w:b/>
          <w:bCs/>
        </w:rPr>
        <w:t xml:space="preserve">Reglamento (UE) 2024/1143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ecológica</w:t>
      </w:r>
      <w:r>
        <w:rPr>
          <w:rFonts w:ascii="Cambria" w:hAnsi="Cambria"/>
        </w:rPr>
        <w:t xml:space="preserve">: logotipo comunitario de la «eurohoja», regulado por el </w:t>
      </w:r>
      <w:r>
        <w:rPr>
          <w:rFonts w:ascii="Cambria" w:hAnsi="Cambria"/>
          <w:b/>
          <w:bCs/>
        </w:rPr>
        <w:t xml:space="preserve">Reglamento (UE) 2018/848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integrada</w:t>
      </w:r>
      <w:r>
        <w:rPr>
          <w:rFonts w:ascii="Cambria" w:hAnsi="Cambria"/>
        </w:rPr>
        <w:t xml:space="preserve">: normativa marco nacional, desarrollada por las Comunidades Autónomas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Certificación voluntaria de calidad comercial del SOIVRE</w:t>
      </w:r>
      <w:r>
        <w:rPr>
          <w:rFonts w:ascii="Cambria" w:hAnsi="Cambria"/>
        </w:rPr>
        <w:t xml:space="preserve">, al margen de los controles oficiales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Norma ISO 9001</w:t>
      </w:r>
      <w:r>
        <w:rPr>
          <w:rFonts w:ascii="Cambria" w:hAnsi="Cambria"/>
        </w:rPr>
        <w:t xml:space="preserve">: no fija requisitos de calidad comercial del producto, sino de gestión de procesos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Certificación GLOBALG.A.P.</w:t>
      </w:r>
      <w:r>
        <w:rPr>
          <w:rFonts w:ascii="Cambria" w:hAnsi="Cambria"/>
        </w:rPr>
        <w:t xml:space="preserve">: así denominada desde 2007, sustituyó a la EUREP-GAP creada en 1997, norma privada centrada en inocuidad, trazabilidad, seguridad laboral y medio ambiente en explotaciones agrícolas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NORMAS DE COMERCIALIZACIÓN DE LA UE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Persiguen aplicar criterios homogéneos a las producciones agrícolas comunitarias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Son reglamentos técnicos de obligado cumplimiento en todos los Estados Miembros y en todas las fases de comercialización, de aplicación directa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Tienen en cuenta las normas del </w:t>
      </w:r>
      <w:r>
        <w:rPr>
          <w:rFonts w:ascii="Cambria" w:hAnsi="Cambria"/>
          <w:b/>
          <w:bCs/>
        </w:rPr>
        <w:t xml:space="preserve">WP.7</w:t>
      </w:r>
      <w:r>
        <w:rPr>
          <w:rFonts w:ascii="Cambria" w:hAnsi="Cambria"/>
        </w:rPr>
        <w:t xml:space="preserve"> de la </w:t>
      </w:r>
      <w:r>
        <w:rPr>
          <w:rFonts w:ascii="Cambria" w:hAnsi="Cambria"/>
          <w:b/>
          <w:bCs/>
        </w:rPr>
        <w:t xml:space="preserve">CEPE/NU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productos que no se ajusten no pueden venderse en la UE ni importarse o exportarse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OCM Única</w:t>
      </w:r>
      <w:r>
        <w:rPr>
          <w:rFonts w:ascii="Cambria" w:hAnsi="Cambria"/>
        </w:rPr>
        <w:t xml:space="preserve"> exige Normas de Calidad Obligatorias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frutas y hortalizas frescas y transformadas, rigen el </w:t>
      </w:r>
      <w:r>
        <w:rPr>
          <w:rFonts w:ascii="Cambria" w:hAnsi="Cambria"/>
          <w:b/>
          <w:bCs/>
        </w:rPr>
        <w:t xml:space="preserve">Reglamento Delegado (UE) 2023/2429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de Ejecución (UE) 2023/2430</w:t>
      </w:r>
      <w:r>
        <w:rPr>
          <w:rFonts w:ascii="Cambria" w:hAnsi="Cambria"/>
        </w:rPr>
        <w:t xml:space="preserve">, que desde el 1 de enero de 2025 sustituyeron al </w:t>
      </w:r>
      <w:r>
        <w:rPr>
          <w:rFonts w:ascii="Cambria" w:hAnsi="Cambria"/>
          <w:b/>
          <w:bCs/>
        </w:rPr>
        <w:t xml:space="preserve">Reglamento de Ejecución (UE) 543/2011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Esquema clásico de las Normas-Cuadro, heredero del antiguo Protocolo de Ginebra, sustituido en octubre de 2015 por el Geneva Understanding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Definición del producto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Disposiciones relativas a la calidad, con la clasificación en categorías Extra, I y II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Disposiciones relativas al calibrado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Disposiciones relativas a las tolerancias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Disposiciones de presentación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Disposiciones relativas al marcado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productos importados deben ajustarse a estas normas o a normas equivalentes, y los comunitarios de exportación deben cumplirlas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productos no incluidos en la OCM Única, los Estados Miembros deciden si controlan las importaciones o exportaciones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OTRAS NORMAS DE CALIDAD INTERNACIONALES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CODEX Alimentarius</w:t>
      </w:r>
      <w:r>
        <w:rPr>
          <w:rFonts w:ascii="Cambria" w:hAnsi="Cambria"/>
        </w:rPr>
        <w:t xml:space="preserve">: Programa Conjunto FAO/OMS para la Normalización Alimentaria, creado en 1963, con 189 Miembros (188 Estados y la UE)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Referencia clave para el Acuerdo OTC y el Acuerdo MSF de la OMC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Forma parte, junto a la </w:t>
      </w:r>
      <w:r>
        <w:rPr>
          <w:rFonts w:ascii="Cambria" w:hAnsi="Cambria"/>
          <w:b/>
          <w:bCs/>
        </w:rPr>
        <w:t xml:space="preserve">OMSA</w:t>
      </w:r>
      <w:r>
        <w:rPr>
          <w:rFonts w:ascii="Cambria" w:hAnsi="Cambria"/>
        </w:rPr>
        <w:t xml:space="preserve"> y la </w:t>
      </w:r>
      <w:r>
        <w:rPr>
          <w:rFonts w:ascii="Cambria" w:hAnsi="Cambria"/>
          <w:b/>
          <w:bCs/>
        </w:rPr>
        <w:t xml:space="preserve">CIPF</w:t>
      </w:r>
      <w:r>
        <w:rPr>
          <w:rFonts w:ascii="Cambria" w:hAnsi="Cambria"/>
        </w:rPr>
        <w:t xml:space="preserve">, del grupo «Las Tres Hermanas» reconocido por el Acuerdo MSF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CEPE/NU</w:t>
      </w:r>
      <w:r>
        <w:rPr>
          <w:rFonts w:ascii="Cambria" w:hAnsi="Cambria"/>
        </w:rPr>
        <w:t xml:space="preserve">: creada en 1947 por el ECOSOC, con sede en Ginebra y 56 países Miembros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 </w:t>
      </w:r>
      <w:r>
        <w:rPr>
          <w:rFonts w:ascii="Cambria" w:hAnsi="Cambria"/>
          <w:b/>
          <w:bCs/>
        </w:rPr>
        <w:t xml:space="preserve">WP.7</w:t>
      </w:r>
      <w:r>
        <w:rPr>
          <w:rFonts w:ascii="Cambria" w:hAnsi="Cambria"/>
        </w:rPr>
        <w:t xml:space="preserve"> sirve de base a las normas de comercialización de la OCM Única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: escasa actividad armonizadora, destaca por sus folletos ilustrativos en el marco de su Régimen para frutas y hortalizas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ISO</w:t>
      </w:r>
      <w:r>
        <w:rPr>
          <w:rFonts w:ascii="Cambria" w:hAnsi="Cambria"/>
        </w:rPr>
        <w:t xml:space="preserve">: organismo internacional de normalización privado, con el Comité Técnico </w:t>
      </w:r>
      <w:r>
        <w:rPr>
          <w:rFonts w:ascii="Cambria" w:hAnsi="Cambria"/>
          <w:b/>
          <w:bCs/>
        </w:rPr>
        <w:t xml:space="preserve">ISO/TC 34</w:t>
      </w:r>
      <w:r>
        <w:rPr>
          <w:rFonts w:ascii="Cambria" w:hAnsi="Cambria"/>
        </w:rPr>
        <w:t xml:space="preserve"> dedicado a productos agrícolas y alimentarios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calidad comercial y la seguridad son los dos pilares del control oficial del comercio exterior de productos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Servicios de Inspección SOIVRE desempeñan funciones que evolucionan con el marco normativo, como ilustra la transformación de su papel en materia CITES tras el </w:t>
      </w:r>
      <w:r>
        <w:rPr>
          <w:rFonts w:ascii="Cambria" w:hAnsi="Cambria"/>
          <w:b/>
          <w:bCs/>
        </w:rPr>
        <w:t xml:space="preserve">Real Decreto 986/2021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Normas de Comercialización de la UE, articuladas hoy por el </w:t>
      </w:r>
      <w:r>
        <w:rPr>
          <w:rFonts w:ascii="Cambria" w:hAnsi="Cambria"/>
          <w:b/>
          <w:bCs/>
        </w:rPr>
        <w:t xml:space="preserve">Reglamento Delegado (UE) 2023/2429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de Ejecución (UE) 2023/2430</w:t>
      </w:r>
      <w:r>
        <w:rPr>
          <w:rFonts w:ascii="Cambria" w:hAnsi="Cambria"/>
        </w:rPr>
        <w:t xml:space="preserve">, constituyen el instrumento jurídico central, complementadas por el CODEX Alimentarius, la CEPE/NU, la OCDE y la ISO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47 – Calidad comercial. Evaluación y certificación de la calidad comercial: los servicios oficiales de control de calidad comercial. Normas de comercialización de la UE. Otras normas de calidad internacionales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