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jc w:val="both"/>
        <w:rPr>
          <w:rFonts w:ascii="Cambria" w:hAnsi="Cambria"/>
          <w:b/>
          <w:bCs/>
          <w:color w:val="auto"/>
          <w:sz w:val="28"/>
          <w:szCs w:val="28"/>
        </w:rPr>
      </w:pPr>
      <w:r>
        <w:rPr>
          <w:rFonts w:ascii="Cambria" w:hAnsi="Cambria"/>
          <w:b/>
          <w:bCs/>
          <w:color w:val="auto"/>
          <w:sz w:val="28"/>
          <w:szCs w:val="28"/>
        </w:rPr>
        <w:t xml:space="preserve">1. INTRODUCCIÓN</w:t>
      </w:r>
    </w:p>
    <w:p>
      <w:pPr>
        <w:numPr>
          <w:ilvl w:val="0"/>
          <w:numId w:val="1"/>
        </w:numPr>
        <w:jc w:val="both"/>
        <w:rPr>
          <w:rFonts w:ascii="Cambria" w:hAnsi="Cambria"/>
        </w:rPr>
      </w:pPr>
      <w:r>
        <w:rPr>
          <w:rFonts w:ascii="Cambria" w:hAnsi="Cambria"/>
        </w:rPr>
        <w:t xml:space="preserve">La </w:t>
      </w:r>
      <w:r>
        <w:rPr>
          <w:rFonts w:ascii="Cambria" w:hAnsi="Cambria"/>
          <w:b/>
          <w:bCs/>
        </w:rPr>
        <w:t xml:space="preserve">calidad</w:t>
      </w:r>
      <w:r>
        <w:rPr>
          <w:rFonts w:ascii="Cambria" w:hAnsi="Cambria"/>
        </w:rPr>
        <w:t xml:space="preserve"> carece de definición única, muy dependiente del bien o servicio al que se aplique.</w:t>
      </w:r>
    </w:p>
    <w:p>
      <w:pPr>
        <w:numPr>
          <w:ilvl w:val="0"/>
          <w:numId w:val="1"/>
        </w:numPr>
        <w:jc w:val="both"/>
        <w:rPr>
          <w:rFonts w:ascii="Cambria" w:hAnsi="Cambria"/>
        </w:rPr>
      </w:pPr>
      <w:r>
        <w:rPr>
          <w:rFonts w:ascii="Cambria" w:hAnsi="Cambria"/>
        </w:rPr>
        <w:t xml:space="preserve">En sentido amplio, es el grado de adecuación de un producto para cubrir necesidades humanas. En sentido estricto, depende del cumplimiento de características y parámetros recogidos en normas.</w:t>
      </w:r>
    </w:p>
    <w:p>
      <w:pPr>
        <w:numPr>
          <w:ilvl w:val="0"/>
          <w:numId w:val="1"/>
        </w:numPr>
        <w:jc w:val="both"/>
        <w:rPr>
          <w:rFonts w:ascii="Cambria" w:hAnsi="Cambria"/>
        </w:rPr>
      </w:pPr>
      <w:r>
        <w:rPr>
          <w:rFonts w:ascii="Cambria" w:hAnsi="Cambria"/>
        </w:rPr>
        <w:t xml:space="preserve">Se distinguen dos grandes vertientes: </w:t>
      </w:r>
      <w:r>
        <w:rPr>
          <w:rFonts w:ascii="Cambria" w:hAnsi="Cambria"/>
          <w:b/>
          <w:bCs/>
        </w:rPr>
        <w:t xml:space="preserve">calidad sanitaria</w:t>
      </w:r>
      <w:r>
        <w:rPr>
          <w:rFonts w:ascii="Cambria" w:hAnsi="Cambria"/>
        </w:rPr>
        <w:t xml:space="preserve"> (seguridad alimentaria) y </w:t>
      </w:r>
      <w:r>
        <w:rPr>
          <w:rFonts w:ascii="Cambria" w:hAnsi="Cambria"/>
          <w:b/>
          <w:bCs/>
        </w:rPr>
        <w:t xml:space="preserve">calidad comercial</w:t>
      </w:r>
      <w:r>
        <w:rPr>
          <w:rFonts w:ascii="Cambria" w:hAnsi="Cambria"/>
        </w:rPr>
        <w:t xml:space="preserve">.</w:t>
      </w:r>
    </w:p>
    <w:p>
      <w:pPr>
        <w:numPr>
          <w:ilvl w:val="0"/>
          <w:numId w:val="1"/>
        </w:numPr>
        <w:jc w:val="both"/>
        <w:rPr>
          <w:rFonts w:ascii="Cambria" w:hAnsi="Cambria"/>
        </w:rPr>
      </w:pPr>
      <w:r>
        <w:rPr>
          <w:rFonts w:ascii="Cambria" w:hAnsi="Cambria"/>
        </w:rPr>
        <w:t xml:space="preserve">En mercados con altos estándares sanitarios, la calidad comercial puede motivar el rechazo del producto por el consumidor aunque sea seguro desde el punto de vista sanitario.</w:t>
      </w:r>
    </w:p>
    <w:p>
      <w:pPr>
        <w:numPr>
          <w:ilvl w:val="0"/>
          <w:numId w:val="1"/>
        </w:numPr>
        <w:jc w:val="both"/>
        <w:rPr>
          <w:rFonts w:ascii="Cambria" w:hAnsi="Cambria"/>
        </w:rPr>
      </w:pPr>
      <w:r>
        <w:rPr>
          <w:rFonts w:ascii="Cambria" w:hAnsi="Cambria"/>
        </w:rPr>
        <w:t xml:space="preserve">El tema aborda los criterios de calidad comercial de productos agroalimentarios, su composición físico-química y nutricional, y la clasificación en categorías comerciales.</w:t>
      </w:r>
    </w:p>
    <w:p>
      <w:pPr>
        <w:pStyle w:val="Ttulo1"/>
        <w:jc w:val="both"/>
        <w:rPr>
          <w:rFonts w:ascii="Cambria" w:hAnsi="Cambria"/>
          <w:b/>
          <w:bCs/>
          <w:color w:val="auto"/>
          <w:sz w:val="28"/>
          <w:szCs w:val="28"/>
        </w:rPr>
      </w:pPr>
      <w:r>
        <w:rPr>
          <w:rFonts w:ascii="Cambria" w:hAnsi="Cambria"/>
          <w:b/>
          <w:bCs/>
          <w:color w:val="auto"/>
          <w:sz w:val="28"/>
          <w:szCs w:val="28"/>
        </w:rPr>
        <w:t xml:space="preserve">2. CRITERIOS DE CALIDAD COMERCIAL</w:t>
      </w:r>
    </w:p>
    <w:p>
      <w:pPr>
        <w:numPr>
          <w:ilvl w:val="0"/>
          <w:numId w:val="1"/>
        </w:numPr>
        <w:jc w:val="both"/>
        <w:rPr>
          <w:rFonts w:ascii="Cambria" w:hAnsi="Cambria"/>
        </w:rPr>
      </w:pPr>
      <w:r>
        <w:rPr>
          <w:rFonts w:ascii="Cambria" w:hAnsi="Cambria"/>
        </w:rPr>
        <w:t xml:space="preserve">La </w:t>
      </w:r>
      <w:r>
        <w:rPr>
          <w:rFonts w:ascii="Cambria" w:hAnsi="Cambria"/>
          <w:b/>
          <w:bCs/>
        </w:rPr>
        <w:t xml:space="preserve">calidad comercial</w:t>
      </w:r>
      <w:r>
        <w:rPr>
          <w:rFonts w:ascii="Cambria" w:hAnsi="Cambria"/>
        </w:rPr>
        <w:t xml:space="preserve"> es el conjunto de factores y parámetros, externos e internos, exigidos a un producto para estar en los circuitos comerciales y satisfacer al mercado de destino.</w:t>
      </w:r>
    </w:p>
    <w:p>
      <w:pPr>
        <w:numPr>
          <w:ilvl w:val="0"/>
          <w:numId w:val="1"/>
        </w:numPr>
        <w:jc w:val="both"/>
        <w:rPr>
          <w:rFonts w:ascii="Cambria" w:hAnsi="Cambria"/>
        </w:rPr>
      </w:pPr>
      <w:r>
        <w:rPr>
          <w:rFonts w:ascii="Cambria" w:hAnsi="Cambria"/>
        </w:rPr>
        <w:t xml:space="preserve">En alimentación, supone un valor añadido respecto al estado natural, derivado de selección, clasificación, calibrado, acondicionamiento, envasado y transporte.</w:t>
      </w:r>
    </w:p>
    <w:p>
      <w:pPr>
        <w:pStyle w:val="Ttulo2"/>
        <w:jc w:val="both"/>
        <w:rPr>
          <w:rFonts w:ascii="Cambria" w:hAnsi="Cambria"/>
          <w:b/>
          <w:bCs/>
          <w:color w:val="auto"/>
          <w:sz w:val="24"/>
          <w:szCs w:val="24"/>
        </w:rPr>
      </w:pPr>
      <w:r>
        <w:rPr>
          <w:rFonts w:ascii="Cambria" w:hAnsi="Cambria"/>
          <w:b/>
          <w:bCs/>
          <w:color w:val="auto"/>
          <w:sz w:val="24"/>
          <w:szCs w:val="24"/>
        </w:rPr>
        <w:t xml:space="preserve">2.1. Calidad comercial externa e interna</w:t>
      </w:r>
    </w:p>
    <w:p>
      <w:pPr>
        <w:numPr>
          <w:ilvl w:val="0"/>
          <w:numId w:val="1"/>
        </w:numPr>
        <w:jc w:val="both"/>
        <w:rPr>
          <w:rFonts w:ascii="Cambria" w:hAnsi="Cambria"/>
        </w:rPr>
      </w:pPr>
      <w:r>
        <w:rPr>
          <w:rFonts w:ascii="Cambria" w:hAnsi="Cambria"/>
          <w:b/>
          <w:bCs/>
        </w:rPr>
        <w:t xml:space="preserve">Externa</w:t>
      </w:r>
      <w:r>
        <w:rPr>
          <w:rFonts w:ascii="Cambria" w:hAnsi="Cambria"/>
        </w:rPr>
        <w:t xml:space="preserve">: características aparentes (forma, tamaño, color, frescura, firmeza, suciedad, olores), evaluada mediante ensayos no destructivos.</w:t>
      </w:r>
    </w:p>
    <w:p>
      <w:pPr>
        <w:numPr>
          <w:ilvl w:val="0"/>
          <w:numId w:val="1"/>
        </w:numPr>
        <w:jc w:val="both"/>
        <w:rPr>
          <w:rFonts w:ascii="Cambria" w:hAnsi="Cambria"/>
        </w:rPr>
      </w:pPr>
      <w:r>
        <w:rPr>
          <w:rFonts w:ascii="Cambria" w:hAnsi="Cambria"/>
          <w:b/>
          <w:bCs/>
        </w:rPr>
        <w:t xml:space="preserve">Interna</w:t>
      </w:r>
      <w:r>
        <w:rPr>
          <w:rFonts w:ascii="Cambria" w:hAnsi="Cambria"/>
        </w:rPr>
        <w:t xml:space="preserve">: factores de desarrollo y madurez apreciables por análisis sensorial (aroma, sabor) y ensayos destructivos (azúcares, ácidos, grasa).</w:t>
      </w:r>
    </w:p>
    <w:p>
      <w:pPr>
        <w:pStyle w:val="Ttulo2"/>
        <w:jc w:val="both"/>
        <w:rPr>
          <w:rFonts w:ascii="Cambria" w:hAnsi="Cambria"/>
          <w:b/>
          <w:bCs/>
          <w:color w:val="auto"/>
          <w:sz w:val="24"/>
          <w:szCs w:val="24"/>
        </w:rPr>
      </w:pPr>
      <w:r>
        <w:rPr>
          <w:rFonts w:ascii="Cambria" w:hAnsi="Cambria"/>
          <w:b/>
          <w:bCs/>
          <w:color w:val="auto"/>
          <w:sz w:val="24"/>
          <w:szCs w:val="24"/>
        </w:rPr>
        <w:t xml:space="preserve">2.2. Marco normativo de la UE</w:t>
      </w:r>
    </w:p>
    <w:p>
      <w:pPr>
        <w:numPr>
          <w:ilvl w:val="0"/>
          <w:numId w:val="1"/>
        </w:numPr>
        <w:jc w:val="both"/>
        <w:rPr>
          <w:rFonts w:ascii="Cambria" w:hAnsi="Cambria"/>
        </w:rPr>
      </w:pPr>
      <w:r>
        <w:rPr>
          <w:rFonts w:ascii="Cambria" w:hAnsi="Cambria"/>
        </w:rPr>
        <w:t xml:space="preserve">Base jurídica: </w:t>
      </w:r>
      <w:r>
        <w:rPr>
          <w:rFonts w:ascii="Cambria" w:hAnsi="Cambria"/>
          <w:b/>
          <w:bCs/>
        </w:rPr>
        <w:t xml:space="preserve">Reglamento (UE) 1308/2013</w:t>
      </w:r>
      <w:r>
        <w:rPr>
          <w:rFonts w:ascii="Cambria" w:hAnsi="Cambria"/>
        </w:rPr>
        <w:t xml:space="preserve">, que crea la OCM Única. Su artículo 75 habilita a la Comisión para desarrollar las Normas de Comercialización mediante actos delegados.</w:t>
      </w:r>
    </w:p>
    <w:p>
      <w:pPr>
        <w:numPr>
          <w:ilvl w:val="0"/>
          <w:numId w:val="1"/>
        </w:numPr>
        <w:jc w:val="both"/>
        <w:rPr>
          <w:rFonts w:ascii="Cambria" w:hAnsi="Cambria"/>
        </w:rPr>
      </w:pPr>
      <w:r>
        <w:rPr>
          <w:rFonts w:ascii="Cambria" w:hAnsi="Cambria"/>
        </w:rPr>
        <w:t xml:space="preserve">Para frutas y hortalizas, desde el </w:t>
      </w:r>
      <w:r>
        <w:rPr>
          <w:rFonts w:ascii="Cambria" w:hAnsi="Cambria"/>
          <w:b/>
          <w:bCs/>
        </w:rPr>
        <w:t xml:space="preserve">1 de enero de 2025</w:t>
      </w:r>
      <w:r>
        <w:rPr>
          <w:rFonts w:ascii="Cambria" w:hAnsi="Cambria"/>
        </w:rPr>
        <w:t xml:space="preserve">: </w:t>
      </w:r>
      <w:r>
        <w:rPr>
          <w:rFonts w:ascii="Cambria" w:hAnsi="Cambria"/>
          <w:b/>
          <w:bCs/>
        </w:rPr>
        <w:t xml:space="preserve">Reglamento Delegado (UE) 2023/2429</w:t>
      </w:r>
      <w:r>
        <w:rPr>
          <w:rFonts w:ascii="Cambria" w:hAnsi="Cambria"/>
        </w:rPr>
        <w:t xml:space="preserve">, criterios de selección y parámetros de calidad, y </w:t>
      </w:r>
      <w:r>
        <w:rPr>
          <w:rFonts w:ascii="Cambria" w:hAnsi="Cambria"/>
          <w:b/>
          <w:bCs/>
        </w:rPr>
        <w:t xml:space="preserve">Reglamento de Ejecución (UE) 2023/2430</w:t>
      </w:r>
      <w:r>
        <w:rPr>
          <w:rFonts w:ascii="Cambria" w:hAnsi="Cambria"/>
        </w:rPr>
        <w:t xml:space="preserve">, controles de conformidad.</w:t>
      </w:r>
    </w:p>
    <w:p>
      <w:pPr>
        <w:numPr>
          <w:ilvl w:val="0"/>
          <w:numId w:val="1"/>
        </w:numPr>
        <w:jc w:val="both"/>
        <w:rPr>
          <w:rFonts w:ascii="Cambria" w:hAnsi="Cambria"/>
        </w:rPr>
      </w:pPr>
      <w:r>
        <w:rPr>
          <w:rFonts w:ascii="Cambria" w:hAnsi="Cambria"/>
        </w:rPr>
        <w:t xml:space="preserve">Ambos sustituyeron al </w:t>
      </w:r>
      <w:r>
        <w:rPr>
          <w:rFonts w:ascii="Cambria" w:hAnsi="Cambria"/>
          <w:b/>
          <w:bCs/>
        </w:rPr>
        <w:t xml:space="preserve">Reglamento de Ejecución (UE) 543/2011</w:t>
      </w:r>
      <w:r>
        <w:rPr>
          <w:rFonts w:ascii="Cambria" w:hAnsi="Cambria"/>
        </w:rPr>
        <w:t xml:space="preserve"> y permiten clasificar en categorías Extra, I y II.</w:t>
      </w:r>
    </w:p>
    <w:p>
      <w:pPr>
        <w:pStyle w:val="Ttulo2"/>
        <w:jc w:val="both"/>
        <w:rPr>
          <w:rFonts w:ascii="Cambria" w:hAnsi="Cambria"/>
          <w:b/>
          <w:bCs/>
          <w:color w:val="auto"/>
          <w:sz w:val="24"/>
          <w:szCs w:val="24"/>
        </w:rPr>
      </w:pPr>
      <w:r>
        <w:rPr>
          <w:rFonts w:ascii="Cambria" w:hAnsi="Cambria"/>
          <w:b/>
          <w:bCs/>
          <w:color w:val="auto"/>
          <w:sz w:val="24"/>
          <w:szCs w:val="24"/>
        </w:rPr>
        <w:t xml:space="preserve">2.3. Requisitos mínimos (Norma General de Comercialización)</w:t>
      </w:r>
    </w:p>
    <w:p>
      <w:pPr>
        <w:numPr>
          <w:ilvl w:val="0"/>
          <w:numId w:val="1"/>
        </w:numPr>
        <w:jc w:val="both"/>
        <w:rPr>
          <w:rFonts w:ascii="Cambria" w:hAnsi="Cambria"/>
        </w:rPr>
      </w:pPr>
      <w:r>
        <w:rPr>
          <w:rFonts w:ascii="Cambria" w:hAnsi="Cambria"/>
        </w:rPr>
        <w:t xml:space="preserve">Intactos, sanos, limpios.</w:t>
      </w:r>
    </w:p>
    <w:p>
      <w:pPr>
        <w:numPr>
          <w:ilvl w:val="0"/>
          <w:numId w:val="1"/>
        </w:numPr>
        <w:jc w:val="both"/>
        <w:rPr>
          <w:rFonts w:ascii="Cambria" w:hAnsi="Cambria"/>
        </w:rPr>
      </w:pPr>
      <w:r>
        <w:rPr>
          <w:rFonts w:ascii="Cambria" w:hAnsi="Cambria"/>
        </w:rPr>
        <w:t xml:space="preserve">Prácticamente exentos de plagas y de daños de plagas en la pulpa.</w:t>
      </w:r>
    </w:p>
    <w:p>
      <w:pPr>
        <w:numPr>
          <w:ilvl w:val="0"/>
          <w:numId w:val="1"/>
        </w:numPr>
        <w:jc w:val="both"/>
        <w:rPr>
          <w:rFonts w:ascii="Cambria" w:hAnsi="Cambria"/>
        </w:rPr>
      </w:pPr>
      <w:r>
        <w:rPr>
          <w:rFonts w:ascii="Cambria" w:hAnsi="Cambria"/>
        </w:rPr>
        <w:t xml:space="preserve">Exentos de humedad exterior anormal y de olores o sabores extraños.</w:t>
      </w:r>
    </w:p>
    <w:p>
      <w:pPr>
        <w:numPr>
          <w:ilvl w:val="0"/>
          <w:numId w:val="1"/>
        </w:numPr>
        <w:jc w:val="both"/>
        <w:rPr>
          <w:rFonts w:ascii="Cambria" w:hAnsi="Cambria"/>
        </w:rPr>
      </w:pPr>
      <w:r>
        <w:rPr>
          <w:rFonts w:ascii="Cambria" w:hAnsi="Cambria"/>
        </w:rPr>
        <w:t xml:space="preserve">Según el </w:t>
      </w:r>
      <w:r>
        <w:rPr>
          <w:rFonts w:ascii="Cambria" w:hAnsi="Cambria"/>
          <w:b/>
          <w:bCs/>
        </w:rPr>
        <w:t xml:space="preserve">Reglamento Delegado (UE) 2023/2429</w:t>
      </w:r>
      <w:r>
        <w:rPr>
          <w:rFonts w:ascii="Cambria" w:hAnsi="Cambria"/>
        </w:rPr>
        <w:t xml:space="preserve">, condiciones de desarrollo y madurez: desarrollo suficiente no excesivo, estado de maduración satisfactorio y aptitud para soportar transporte y manipulación.</w:t>
      </w:r>
    </w:p>
    <w:p>
      <w:pPr>
        <w:numPr>
          <w:ilvl w:val="0"/>
          <w:numId w:val="1"/>
        </w:numPr>
        <w:jc w:val="both"/>
        <w:rPr>
          <w:rFonts w:ascii="Cambria" w:hAnsi="Cambria"/>
        </w:rPr>
      </w:pPr>
      <w:r>
        <w:rPr>
          <w:rFonts w:ascii="Cambria" w:hAnsi="Cambria"/>
        </w:rPr>
        <w:t xml:space="preserve">Los contaminantes y </w:t>
      </w:r>
      <w:r>
        <w:rPr>
          <w:rFonts w:ascii="Cambria" w:hAnsi="Cambria"/>
          <w:b/>
          <w:bCs/>
        </w:rPr>
        <w:t xml:space="preserve">límites máximos de residuos (LMR)</w:t>
      </w:r>
      <w:r>
        <w:rPr>
          <w:rFonts w:ascii="Cambria" w:hAnsi="Cambria"/>
        </w:rPr>
        <w:t xml:space="preserve"> pertenecen a la legislación horizontal de seguridad alimentaria (</w:t>
      </w:r>
      <w:r>
        <w:rPr>
          <w:rFonts w:ascii="Cambria" w:hAnsi="Cambria"/>
          <w:b/>
          <w:bCs/>
        </w:rPr>
        <w:t xml:space="preserve">Reglamento (UE) 2023/915</w:t>
      </w:r>
      <w:r>
        <w:rPr>
          <w:rFonts w:ascii="Cambria" w:hAnsi="Cambria"/>
        </w:rPr>
        <w:t xml:space="preserve">), separada de las normas de comercialización.</w:t>
      </w:r>
    </w:p>
    <w:p>
      <w:pPr>
        <w:pStyle w:val="Ttulo2"/>
        <w:jc w:val="both"/>
        <w:rPr>
          <w:rFonts w:ascii="Cambria" w:hAnsi="Cambria"/>
          <w:b/>
          <w:bCs/>
          <w:color w:val="auto"/>
          <w:sz w:val="24"/>
          <w:szCs w:val="24"/>
        </w:rPr>
      </w:pPr>
      <w:r>
        <w:rPr>
          <w:rFonts w:ascii="Cambria" w:hAnsi="Cambria"/>
          <w:b/>
          <w:bCs/>
          <w:color w:val="auto"/>
          <w:sz w:val="24"/>
          <w:szCs w:val="24"/>
        </w:rPr>
        <w:t xml:space="preserve">2.4. Madurez comercial</w:t>
      </w:r>
    </w:p>
    <w:p>
      <w:pPr>
        <w:numPr>
          <w:ilvl w:val="0"/>
          <w:numId w:val="1"/>
        </w:numPr>
        <w:jc w:val="both"/>
        <w:rPr>
          <w:rFonts w:ascii="Cambria" w:hAnsi="Cambria"/>
        </w:rPr>
      </w:pPr>
      <w:r>
        <w:rPr>
          <w:rFonts w:ascii="Cambria" w:hAnsi="Cambria"/>
        </w:rPr>
        <w:t xml:space="preserve">Concepto clave ligado a oferta, demanda y precio. Una gestión inadecuada arruina la experiencia del consumidor.</w:t>
      </w:r>
    </w:p>
    <w:p>
      <w:pPr>
        <w:numPr>
          <w:ilvl w:val="0"/>
          <w:numId w:val="1"/>
        </w:numPr>
        <w:jc w:val="both"/>
        <w:rPr>
          <w:rFonts w:ascii="Cambria" w:hAnsi="Cambria"/>
        </w:rPr>
      </w:pPr>
      <w:r>
        <w:rPr>
          <w:rFonts w:ascii="Cambria" w:hAnsi="Cambria"/>
          <w:b/>
          <w:bCs/>
        </w:rPr>
        <w:t xml:space="preserve">Frutos climatéricos</w:t>
      </w:r>
      <w:r>
        <w:rPr>
          <w:rFonts w:ascii="Cambria" w:hAnsi="Cambria"/>
        </w:rPr>
        <w:t xml:space="preserve">: siguen madurando tras la recolección por el pico de respiración y producción de etileno. La madurez comercial puede ser anterior a la gustativa. Ejemplos: manzana, pera, melocotón, ciruela, plátano, mango, aguacate, papaya, tomate.</w:t>
      </w:r>
    </w:p>
    <w:p>
      <w:pPr>
        <w:numPr>
          <w:ilvl w:val="0"/>
          <w:numId w:val="1"/>
        </w:numPr>
        <w:jc w:val="both"/>
        <w:rPr>
          <w:rFonts w:ascii="Cambria" w:hAnsi="Cambria"/>
        </w:rPr>
      </w:pPr>
      <w:r>
        <w:rPr>
          <w:rFonts w:ascii="Cambria" w:hAnsi="Cambria"/>
          <w:b/>
          <w:bCs/>
        </w:rPr>
        <w:t xml:space="preserve">Frutos no climatéricos</w:t>
      </w:r>
      <w:r>
        <w:rPr>
          <w:rFonts w:ascii="Cambria" w:hAnsi="Cambria"/>
        </w:rPr>
        <w:t xml:space="preserve">: no maduran organolépticamente tras la recolección, madurez comercial y gustativa coinciden. Ejemplos: cítricos, fresa, uva, piña, pimiento, pepino, melón, sandía.</w:t>
      </w:r>
    </w:p>
    <w:p>
      <w:pPr>
        <w:pStyle w:val="Ttulo2"/>
        <w:jc w:val="both"/>
        <w:rPr>
          <w:rFonts w:ascii="Cambria" w:hAnsi="Cambria"/>
          <w:b/>
          <w:bCs/>
          <w:color w:val="auto"/>
          <w:sz w:val="24"/>
          <w:szCs w:val="24"/>
        </w:rPr>
      </w:pPr>
      <w:r>
        <w:rPr>
          <w:rFonts w:ascii="Cambria" w:hAnsi="Cambria"/>
          <w:b/>
          <w:bCs/>
          <w:color w:val="auto"/>
          <w:sz w:val="24"/>
          <w:szCs w:val="24"/>
        </w:rPr>
        <w:t xml:space="preserve">2.5. Índices objetivos de madurez</w:t>
      </w:r>
    </w:p>
    <w:p>
      <w:pPr>
        <w:numPr>
          <w:ilvl w:val="0"/>
          <w:numId w:val="1"/>
        </w:numPr>
        <w:jc w:val="both"/>
        <w:rPr>
          <w:rFonts w:ascii="Cambria" w:hAnsi="Cambria"/>
        </w:rPr>
      </w:pPr>
      <w:r>
        <w:rPr>
          <w:rFonts w:ascii="Cambria" w:hAnsi="Cambria"/>
          <w:b/>
          <w:bCs/>
        </w:rPr>
        <w:t xml:space="preserve">Firmeza</w:t>
      </w:r>
      <w:r>
        <w:rPr>
          <w:rFonts w:ascii="Cambria" w:hAnsi="Cambria"/>
        </w:rPr>
        <w:t xml:space="preserve"> de la pulpa (penetrómetro): manzana, pera, melocotón, kiwi.</w:t>
      </w:r>
    </w:p>
    <w:p>
      <w:pPr>
        <w:numPr>
          <w:ilvl w:val="0"/>
          <w:numId w:val="1"/>
        </w:numPr>
        <w:jc w:val="both"/>
        <w:rPr>
          <w:rFonts w:ascii="Cambria" w:hAnsi="Cambria"/>
        </w:rPr>
      </w:pPr>
      <w:r>
        <w:rPr>
          <w:rFonts w:ascii="Cambria" w:hAnsi="Cambria"/>
          <w:b/>
          <w:bCs/>
        </w:rPr>
        <w:t xml:space="preserve">Color</w:t>
      </w:r>
      <w:r>
        <w:rPr>
          <w:rFonts w:ascii="Cambria" w:hAnsi="Cambria"/>
        </w:rPr>
        <w:t xml:space="preserve"> (cartas o colorímetros): manzana, cítricos, mango, tomate.</w:t>
      </w:r>
    </w:p>
    <w:p>
      <w:pPr>
        <w:numPr>
          <w:ilvl w:val="0"/>
          <w:numId w:val="1"/>
        </w:numPr>
        <w:jc w:val="both"/>
        <w:rPr>
          <w:rFonts w:ascii="Cambria" w:hAnsi="Cambria"/>
        </w:rPr>
      </w:pPr>
      <w:r>
        <w:rPr>
          <w:rFonts w:ascii="Cambria" w:hAnsi="Cambria"/>
          <w:b/>
          <w:bCs/>
        </w:rPr>
        <w:t xml:space="preserve">Contenido en almidón</w:t>
      </w:r>
      <w:r>
        <w:rPr>
          <w:rFonts w:ascii="Cambria" w:hAnsi="Cambria"/>
        </w:rPr>
        <w:t xml:space="preserve"> (test con yodo/yoduro potásico): manzana, pera.</w:t>
      </w:r>
    </w:p>
    <w:p>
      <w:pPr>
        <w:numPr>
          <w:ilvl w:val="0"/>
          <w:numId w:val="1"/>
        </w:numPr>
        <w:jc w:val="both"/>
        <w:rPr>
          <w:rFonts w:ascii="Cambria" w:hAnsi="Cambria"/>
        </w:rPr>
      </w:pPr>
      <w:r>
        <w:rPr>
          <w:rFonts w:ascii="Cambria" w:hAnsi="Cambria"/>
          <w:b/>
          <w:bCs/>
        </w:rPr>
        <w:t xml:space="preserve">Sólidos solubles totales</w:t>
      </w:r>
      <w:r>
        <w:rPr>
          <w:rFonts w:ascii="Cambria" w:hAnsi="Cambria"/>
        </w:rPr>
        <w:t xml:space="preserve"> (grados Brix, refractómetro): piña, melón, uva de mesa, sandía.</w:t>
      </w:r>
    </w:p>
    <w:p>
      <w:pPr>
        <w:numPr>
          <w:ilvl w:val="0"/>
          <w:numId w:val="1"/>
        </w:numPr>
        <w:jc w:val="both"/>
        <w:rPr>
          <w:rFonts w:ascii="Cambria" w:hAnsi="Cambria"/>
        </w:rPr>
      </w:pPr>
      <w:r>
        <w:rPr>
          <w:rFonts w:ascii="Cambria" w:hAnsi="Cambria"/>
          <w:b/>
          <w:bCs/>
        </w:rPr>
        <w:t xml:space="preserve">Relación de madurez</w:t>
      </w:r>
      <w:r>
        <w:rPr>
          <w:rFonts w:ascii="Cambria" w:hAnsi="Cambria"/>
        </w:rPr>
        <w:t xml:space="preserve"> (índice S/A o E/A): índice legal clave en cítricos y uva de mesa.</w:t>
      </w:r>
    </w:p>
    <w:p>
      <w:pPr>
        <w:numPr>
          <w:ilvl w:val="0"/>
          <w:numId w:val="1"/>
        </w:numPr>
        <w:jc w:val="both"/>
        <w:rPr>
          <w:rFonts w:ascii="Cambria" w:hAnsi="Cambria"/>
        </w:rPr>
      </w:pPr>
      <w:r>
        <w:rPr>
          <w:rFonts w:ascii="Cambria" w:hAnsi="Cambria"/>
          <w:b/>
          <w:bCs/>
        </w:rPr>
        <w:t xml:space="preserve">Contenido en aceite o materia seca</w:t>
      </w:r>
      <w:r>
        <w:rPr>
          <w:rFonts w:ascii="Cambria" w:hAnsi="Cambria"/>
        </w:rPr>
        <w:t xml:space="preserve">: índice indispensable en el aguacate.</w:t>
      </w:r>
    </w:p>
    <w:p>
      <w:pPr>
        <w:numPr>
          <w:ilvl w:val="0"/>
          <w:numId w:val="1"/>
        </w:numPr>
        <w:jc w:val="both"/>
        <w:rPr>
          <w:rFonts w:ascii="Cambria" w:hAnsi="Cambria"/>
        </w:rPr>
      </w:pPr>
      <w:r>
        <w:rPr>
          <w:rFonts w:ascii="Cambria" w:hAnsi="Cambria"/>
        </w:rPr>
        <w:t xml:space="preserve">Otros factores: fisiopatías (bitter pit, arrugamiento), daños climatológicos, defectos de presentación, ausencia de plagas activas y cumplimiento de límites de seguridad alimentaria.</w:t>
      </w:r>
    </w:p>
    <w:p>
      <w:pPr>
        <w:pStyle w:val="Ttulo1"/>
        <w:jc w:val="both"/>
        <w:rPr>
          <w:rFonts w:ascii="Cambria" w:hAnsi="Cambria"/>
          <w:b/>
          <w:bCs/>
          <w:color w:val="auto"/>
          <w:sz w:val="28"/>
          <w:szCs w:val="28"/>
        </w:rPr>
      </w:pPr>
      <w:r>
        <w:rPr>
          <w:rFonts w:ascii="Cambria" w:hAnsi="Cambria"/>
          <w:b/>
          <w:bCs/>
          <w:color w:val="auto"/>
          <w:sz w:val="28"/>
          <w:szCs w:val="28"/>
        </w:rPr>
        <w:t xml:space="preserve">3. FACTORES Y PARÁMETROS DE CALIDAD COMERCIAL DE LOS PRODUCTOS ALIMENTICIOS</w:t>
      </w:r>
    </w:p>
    <w:p>
      <w:pPr>
        <w:pStyle w:val="Ttulo2"/>
        <w:jc w:val="both"/>
        <w:rPr>
          <w:rFonts w:ascii="Cambria" w:hAnsi="Cambria"/>
          <w:b/>
          <w:bCs/>
          <w:color w:val="auto"/>
          <w:sz w:val="24"/>
          <w:szCs w:val="24"/>
        </w:rPr>
      </w:pPr>
      <w:r>
        <w:rPr>
          <w:rFonts w:ascii="Cambria" w:hAnsi="Cambria"/>
          <w:b/>
          <w:bCs/>
          <w:color w:val="auto"/>
          <w:sz w:val="24"/>
          <w:szCs w:val="24"/>
        </w:rPr>
        <w:t xml:space="preserve">3.1. Factores que determinan la salud humana</w:t>
      </w:r>
    </w:p>
    <w:p>
      <w:pPr>
        <w:numPr>
          <w:ilvl w:val="0"/>
          <w:numId w:val="1"/>
        </w:numPr>
        <w:jc w:val="both"/>
        <w:rPr>
          <w:rFonts w:ascii="Cambria" w:hAnsi="Cambria"/>
        </w:rPr>
      </w:pPr>
      <w:r>
        <w:rPr>
          <w:rFonts w:ascii="Cambria" w:hAnsi="Cambria"/>
        </w:rPr>
        <w:t xml:space="preserve">Requisito absoluto: la </w:t>
      </w:r>
      <w:r>
        <w:rPr>
          <w:rFonts w:ascii="Cambria" w:hAnsi="Cambria"/>
          <w:b/>
          <w:bCs/>
        </w:rPr>
        <w:t xml:space="preserve">inocuidad alimentaria</w:t>
      </w:r>
      <w:r>
        <w:rPr>
          <w:rFonts w:ascii="Cambria" w:hAnsi="Cambria"/>
        </w:rPr>
        <w:t xml:space="preserve">.</w:t>
      </w:r>
    </w:p>
    <w:p>
      <w:pPr>
        <w:numPr>
          <w:ilvl w:val="0"/>
          <w:numId w:val="1"/>
        </w:numPr>
        <w:jc w:val="both"/>
        <w:rPr>
          <w:rFonts w:ascii="Cambria" w:hAnsi="Cambria"/>
        </w:rPr>
      </w:pPr>
      <w:r>
        <w:rPr>
          <w:rFonts w:ascii="Cambria" w:hAnsi="Cambria"/>
        </w:rPr>
        <w:t xml:space="preserve">Vías de pérdida de inocuidad: transmisión de enfermedades (zoonosis y epizootias en origen animal) y aporte de contaminantes tóxicos (residuos de plaguicidas, antibióticos, hormonas).</w:t>
      </w:r>
    </w:p>
    <w:p>
      <w:pPr>
        <w:numPr>
          <w:ilvl w:val="0"/>
          <w:numId w:val="1"/>
        </w:numPr>
        <w:jc w:val="both"/>
        <w:rPr>
          <w:rFonts w:ascii="Cambria" w:hAnsi="Cambria"/>
        </w:rPr>
      </w:pPr>
      <w:r>
        <w:rPr>
          <w:rFonts w:ascii="Cambria" w:hAnsi="Cambria"/>
        </w:rPr>
        <w:t xml:space="preserve">Distinción entre materia activa prohibida en la UE y materia activa permitida que supera los </w:t>
      </w:r>
      <w:r>
        <w:rPr>
          <w:rFonts w:ascii="Cambria" w:hAnsi="Cambria"/>
          <w:b/>
          <w:bCs/>
        </w:rPr>
        <w:t xml:space="preserve">LMR</w:t>
      </w:r>
      <w:r>
        <w:rPr>
          <w:rFonts w:ascii="Cambria" w:hAnsi="Cambria"/>
        </w:rPr>
        <w:t xml:space="preserve">.</w:t>
      </w:r>
    </w:p>
    <w:p>
      <w:pPr>
        <w:numPr>
          <w:ilvl w:val="0"/>
          <w:numId w:val="1"/>
        </w:numPr>
        <w:jc w:val="both"/>
        <w:rPr>
          <w:rFonts w:ascii="Cambria" w:hAnsi="Cambria"/>
        </w:rPr>
      </w:pPr>
      <w:r>
        <w:rPr>
          <w:rFonts w:ascii="Cambria" w:hAnsi="Cambria"/>
          <w:b/>
          <w:bCs/>
        </w:rPr>
        <w:t xml:space="preserve">Micotoxinas</w:t>
      </w:r>
      <w:r>
        <w:rPr>
          <w:rFonts w:ascii="Cambria" w:hAnsi="Cambria"/>
        </w:rPr>
        <w:t xml:space="preserve">: aflatoxinas (B1, B2, G1, G2 y M1 en leche), producidas por *Aspergillus flavus* y *A. parasiticus*, presentes en frutos secos, desecados y cereales. Genotóxicas y carcinógenas, reguladas por el </w:t>
      </w:r>
      <w:r>
        <w:rPr>
          <w:rFonts w:ascii="Cambria" w:hAnsi="Cambria"/>
          <w:b/>
          <w:bCs/>
        </w:rPr>
        <w:t xml:space="preserve">Reglamento (UE) 2023/915</w:t>
      </w:r>
      <w:r>
        <w:rPr>
          <w:rFonts w:ascii="Cambria" w:hAnsi="Cambria"/>
        </w:rPr>
        <w:t xml:space="preserve">.</w:t>
      </w:r>
    </w:p>
    <w:p>
      <w:pPr>
        <w:pStyle w:val="Ttulo2"/>
        <w:jc w:val="both"/>
        <w:rPr>
          <w:rFonts w:ascii="Cambria" w:hAnsi="Cambria"/>
          <w:b/>
          <w:bCs/>
          <w:color w:val="auto"/>
          <w:sz w:val="24"/>
          <w:szCs w:val="24"/>
        </w:rPr>
      </w:pPr>
      <w:r>
        <w:rPr>
          <w:rFonts w:ascii="Cambria" w:hAnsi="Cambria"/>
          <w:b/>
          <w:bCs/>
          <w:color w:val="auto"/>
          <w:sz w:val="24"/>
          <w:szCs w:val="24"/>
        </w:rPr>
        <w:t xml:space="preserve">3.2. Factores que determinan la salud vegetal</w:t>
      </w:r>
    </w:p>
    <w:p>
      <w:pPr>
        <w:numPr>
          <w:ilvl w:val="0"/>
          <w:numId w:val="1"/>
        </w:numPr>
        <w:jc w:val="both"/>
        <w:rPr>
          <w:rFonts w:ascii="Cambria" w:hAnsi="Cambria"/>
        </w:rPr>
      </w:pPr>
      <w:r>
        <w:rPr>
          <w:rFonts w:ascii="Cambria" w:hAnsi="Cambria"/>
        </w:rPr>
        <w:t xml:space="preserve">Distinción entre plagas de cuarentena (introducción prohibida) y plagas reguladas no de cuarentena.</w:t>
      </w:r>
    </w:p>
    <w:p>
      <w:pPr>
        <w:numPr>
          <w:ilvl w:val="0"/>
          <w:numId w:val="1"/>
        </w:numPr>
        <w:jc w:val="both"/>
        <w:rPr>
          <w:rFonts w:ascii="Cambria" w:hAnsi="Cambria"/>
        </w:rPr>
      </w:pPr>
      <w:r>
        <w:rPr>
          <w:rFonts w:ascii="Cambria" w:hAnsi="Cambria"/>
          <w:b/>
          <w:bCs/>
        </w:rPr>
        <w:t xml:space="preserve">Plagas que deterioran el producto</w:t>
      </w:r>
      <w:r>
        <w:rPr>
          <w:rFonts w:ascii="Cambria" w:hAnsi="Cambria"/>
        </w:rPr>
        <w:t xml:space="preserve">: mosca de la fruta (*Ceratitis capitata*), carpocapsa (*Cydia pomonella*), polilla oriental (*Cydia molesta*), mosca del olivo (*Bactrocera oleae*), oruga del tomate (*Helicoverpa armigera*), gorgojo de los ajos, nitidúlidos, gasterópodos.</w:t>
      </w:r>
    </w:p>
    <w:p>
      <w:pPr>
        <w:numPr>
          <w:ilvl w:val="0"/>
          <w:numId w:val="1"/>
        </w:numPr>
        <w:jc w:val="both"/>
        <w:rPr>
          <w:rFonts w:ascii="Cambria" w:hAnsi="Cambria"/>
        </w:rPr>
      </w:pPr>
      <w:r>
        <w:rPr>
          <w:rFonts w:ascii="Cambria" w:hAnsi="Cambria"/>
          <w:b/>
          <w:bCs/>
        </w:rPr>
        <w:t xml:space="preserve">Plagas de impacto estético</w:t>
      </w:r>
      <w:r>
        <w:rPr>
          <w:rFonts w:ascii="Cambria" w:hAnsi="Cambria"/>
        </w:rPr>
        <w:t xml:space="preserve">: cochinillas (piojo de San José), chinches de campo, ácaros y trips.</w:t>
      </w:r>
    </w:p>
    <w:p>
      <w:pPr>
        <w:numPr>
          <w:ilvl w:val="0"/>
          <w:numId w:val="1"/>
        </w:numPr>
        <w:jc w:val="both"/>
        <w:rPr>
          <w:rFonts w:ascii="Cambria" w:hAnsi="Cambria"/>
        </w:rPr>
      </w:pPr>
      <w:r>
        <w:rPr>
          <w:rFonts w:ascii="Cambria" w:hAnsi="Cambria"/>
          <w:b/>
          <w:bCs/>
        </w:rPr>
        <w:t xml:space="preserve">Enfermedades bacterianas y víricas</w:t>
      </w:r>
      <w:r>
        <w:rPr>
          <w:rFonts w:ascii="Cambria" w:hAnsi="Cambria"/>
        </w:rPr>
        <w:t xml:space="preserve">: podredumbres de la patata (*Pectobacterium*, *Dickeya*, *Clavibacter sepedonicus*), virus del enrollado de la patata (PLRV), Sharka (PPV), tristeza de los cítricos (CTV), mosaicos (TMV, CMV), *Ralstonia solanacearum*, *Xylella fastidiosa*.</w:t>
      </w:r>
    </w:p>
    <w:p>
      <w:pPr>
        <w:numPr>
          <w:ilvl w:val="0"/>
          <w:numId w:val="1"/>
        </w:numPr>
        <w:jc w:val="both"/>
        <w:rPr>
          <w:rFonts w:ascii="Cambria" w:hAnsi="Cambria"/>
        </w:rPr>
      </w:pPr>
      <w:r>
        <w:rPr>
          <w:rFonts w:ascii="Cambria" w:hAnsi="Cambria"/>
          <w:b/>
          <w:bCs/>
        </w:rPr>
        <w:t xml:space="preserve">Enfermedades fúngicas</w:t>
      </w:r>
      <w:r>
        <w:rPr>
          <w:rFonts w:ascii="Cambria" w:hAnsi="Cambria"/>
        </w:rPr>
        <w:t xml:space="preserve">: *Penicillium*, *Phytophthora*, *Cladosporium*, *Rhizopus*, *Fusarium oxysporum* f. sp. *cubense* (mal de Panamá), *Phyllosticta citricarpa* (mancha negra de los cítricos), mildiu, sarna común, antracnosis.</w:t>
      </w:r>
    </w:p>
    <w:p>
      <w:pPr>
        <w:pStyle w:val="Ttulo2"/>
        <w:jc w:val="both"/>
        <w:rPr>
          <w:rFonts w:ascii="Cambria" w:hAnsi="Cambria"/>
          <w:b/>
          <w:bCs/>
          <w:color w:val="auto"/>
          <w:sz w:val="24"/>
          <w:szCs w:val="24"/>
        </w:rPr>
      </w:pPr>
      <w:r>
        <w:rPr>
          <w:rFonts w:ascii="Cambria" w:hAnsi="Cambria"/>
          <w:b/>
          <w:bCs/>
          <w:color w:val="auto"/>
          <w:sz w:val="24"/>
          <w:szCs w:val="24"/>
        </w:rPr>
        <w:t xml:space="preserve">3.3. Factores que determinan la calidad comercial</w:t>
      </w:r>
    </w:p>
    <w:p>
      <w:pPr>
        <w:numPr>
          <w:ilvl w:val="0"/>
          <w:numId w:val="1"/>
        </w:numPr>
        <w:jc w:val="both"/>
        <w:rPr>
          <w:rFonts w:ascii="Cambria" w:hAnsi="Cambria"/>
        </w:rPr>
      </w:pPr>
      <w:r>
        <w:rPr>
          <w:rFonts w:ascii="Cambria" w:hAnsi="Cambria"/>
        </w:rPr>
        <w:t xml:space="preserve">La calidad sanitaria evalúa apto/no apto. La calidad comercial evalúa atributos de valor que segmentan el mercado.</w:t>
      </w:r>
    </w:p>
    <w:p>
      <w:pPr>
        <w:numPr>
          <w:ilvl w:val="0"/>
          <w:numId w:val="1"/>
        </w:numPr>
        <w:jc w:val="both"/>
        <w:rPr>
          <w:rFonts w:ascii="Cambria" w:hAnsi="Cambria"/>
        </w:rPr>
      </w:pPr>
      <w:r>
        <w:rPr>
          <w:rFonts w:ascii="Cambria" w:hAnsi="Cambria"/>
          <w:b/>
          <w:bCs/>
        </w:rPr>
        <w:t xml:space="preserve">Frutas y hortalizas frescas</w:t>
      </w:r>
      <w:r>
        <w:rPr>
          <w:rFonts w:ascii="Cambria" w:hAnsi="Cambria"/>
        </w:rPr>
        <w:t xml:space="preserve">: firmeza, color, almidón, sólidos solubles totales, relación de madurez E/A, contenido en aceite o materia seca.</w:t>
      </w:r>
    </w:p>
    <w:p>
      <w:pPr>
        <w:numPr>
          <w:ilvl w:val="0"/>
          <w:numId w:val="1"/>
        </w:numPr>
        <w:jc w:val="both"/>
        <w:rPr>
          <w:rFonts w:ascii="Cambria" w:hAnsi="Cambria"/>
        </w:rPr>
      </w:pPr>
      <w:r>
        <w:rPr>
          <w:rFonts w:ascii="Cambria" w:hAnsi="Cambria"/>
          <w:b/>
          <w:bCs/>
        </w:rPr>
        <w:t xml:space="preserve">Resto de sectores</w:t>
      </w:r>
      <w:r>
        <w:rPr>
          <w:rFonts w:ascii="Cambria" w:hAnsi="Cambria"/>
        </w:rPr>
        <w:t xml:space="preserve"> (parámetros específicos):</w:t>
      </w:r>
    </w:p>
    <w:p>
      <w:pPr>
        <w:numPr>
          <w:ilvl w:val="1"/>
          <w:numId w:val="1"/>
        </w:numPr>
        <w:jc w:val="both"/>
        <w:rPr>
          <w:rFonts w:ascii="Cambria" w:hAnsi="Cambria"/>
        </w:rPr>
      </w:pPr>
      <w:r>
        <w:rPr>
          <w:rFonts w:ascii="Cambria" w:hAnsi="Cambria"/>
        </w:rPr>
        <w:t xml:space="preserve">Frutos secos y desecados: humedad máxima, frutos vanos, rancidez.</w:t>
      </w:r>
    </w:p>
    <w:p>
      <w:pPr>
        <w:numPr>
          <w:ilvl w:val="1"/>
          <w:numId w:val="1"/>
        </w:numPr>
        <w:jc w:val="both"/>
        <w:rPr>
          <w:rFonts w:ascii="Cambria" w:hAnsi="Cambria"/>
        </w:rPr>
      </w:pPr>
      <w:r>
        <w:rPr>
          <w:rFonts w:ascii="Cambria" w:hAnsi="Cambria"/>
        </w:rPr>
        <w:t xml:space="preserve">Granos y semillas: peso hectolítrico, humedad, granos rotos o dañados.</w:t>
      </w:r>
    </w:p>
    <w:p>
      <w:pPr>
        <w:numPr>
          <w:ilvl w:val="1"/>
          <w:numId w:val="1"/>
        </w:numPr>
        <w:jc w:val="both"/>
        <w:rPr>
          <w:rFonts w:ascii="Cambria" w:hAnsi="Cambria"/>
        </w:rPr>
      </w:pPr>
      <w:r>
        <w:rPr>
          <w:rFonts w:ascii="Cambria" w:hAnsi="Cambria"/>
        </w:rPr>
        <w:t xml:space="preserve">Harinas y pastas: cenizas, gluten, fuerza panadera (W), acidez de la grasa.</w:t>
      </w:r>
    </w:p>
    <w:p>
      <w:pPr>
        <w:numPr>
          <w:ilvl w:val="1"/>
          <w:numId w:val="1"/>
        </w:numPr>
        <w:jc w:val="both"/>
        <w:rPr>
          <w:rFonts w:ascii="Cambria" w:hAnsi="Cambria"/>
        </w:rPr>
      </w:pPr>
      <w:r>
        <w:rPr>
          <w:rFonts w:ascii="Cambria" w:hAnsi="Cambria"/>
        </w:rPr>
        <w:t xml:space="preserve">Sector cárnico: clasificación </w:t>
      </w:r>
      <w:r>
        <w:rPr>
          <w:rFonts w:ascii="Cambria" w:hAnsi="Cambria"/>
          <w:b/>
          <w:bCs/>
        </w:rPr>
        <w:t xml:space="preserve">SEUROP</w:t>
      </w:r>
      <w:r>
        <w:rPr>
          <w:rFonts w:ascii="Cambria" w:hAnsi="Cambria"/>
        </w:rPr>
        <w:t xml:space="preserve">, engrasamiento, pH (DFD/PSE), color.</w:t>
      </w:r>
    </w:p>
    <w:p>
      <w:pPr>
        <w:numPr>
          <w:ilvl w:val="1"/>
          <w:numId w:val="1"/>
        </w:numPr>
        <w:jc w:val="both"/>
        <w:rPr>
          <w:rFonts w:ascii="Cambria" w:hAnsi="Cambria"/>
        </w:rPr>
      </w:pPr>
      <w:r>
        <w:rPr>
          <w:rFonts w:ascii="Cambria" w:hAnsi="Cambria"/>
        </w:rPr>
        <w:t xml:space="preserve">Pesca: método </w:t>
      </w:r>
      <w:r>
        <w:rPr>
          <w:rFonts w:ascii="Cambria" w:hAnsi="Cambria"/>
          <w:b/>
          <w:bCs/>
        </w:rPr>
        <w:t xml:space="preserve">QIM</w:t>
      </w:r>
      <w:r>
        <w:rPr>
          <w:rFonts w:ascii="Cambria" w:hAnsi="Cambria"/>
        </w:rPr>
        <w:t xml:space="preserve">, ausencia de Anisakis, peso escurrido en conservas.</w:t>
      </w:r>
    </w:p>
    <w:p>
      <w:pPr>
        <w:numPr>
          <w:ilvl w:val="1"/>
          <w:numId w:val="1"/>
        </w:numPr>
        <w:jc w:val="both"/>
        <w:rPr>
          <w:rFonts w:ascii="Cambria" w:hAnsi="Cambria"/>
        </w:rPr>
      </w:pPr>
      <w:r>
        <w:rPr>
          <w:rFonts w:ascii="Cambria" w:hAnsi="Cambria"/>
        </w:rPr>
        <w:t xml:space="preserve">Lácteo: punto crioscópico, materia grasa, extracto seco magro, células somáticas.</w:t>
      </w:r>
    </w:p>
    <w:p>
      <w:pPr>
        <w:numPr>
          <w:ilvl w:val="1"/>
          <w:numId w:val="1"/>
        </w:numPr>
        <w:jc w:val="both"/>
        <w:rPr>
          <w:rFonts w:ascii="Cambria" w:hAnsi="Cambria"/>
        </w:rPr>
      </w:pPr>
      <w:r>
        <w:rPr>
          <w:rFonts w:ascii="Cambria" w:hAnsi="Cambria"/>
        </w:rPr>
        <w:t xml:space="preserve">Miel, azúcar y huevos: HMF y diastasa, polarización, unidades Haugh, categoría de cámara de aire.</w:t>
      </w:r>
    </w:p>
    <w:p>
      <w:pPr>
        <w:numPr>
          <w:ilvl w:val="1"/>
          <w:numId w:val="1"/>
        </w:numPr>
        <w:jc w:val="both"/>
        <w:rPr>
          <w:rFonts w:ascii="Cambria" w:hAnsi="Cambria"/>
        </w:rPr>
      </w:pPr>
      <w:r>
        <w:rPr>
          <w:rFonts w:ascii="Cambria" w:hAnsi="Cambria"/>
        </w:rPr>
        <w:t xml:space="preserve">Conservas vegetales: peso escurrido, homogeneidad, vacío de envase.</w:t>
      </w:r>
    </w:p>
    <w:p>
      <w:pPr>
        <w:numPr>
          <w:ilvl w:val="1"/>
          <w:numId w:val="1"/>
        </w:numPr>
        <w:jc w:val="both"/>
        <w:rPr>
          <w:rFonts w:ascii="Cambria" w:hAnsi="Cambria"/>
        </w:rPr>
      </w:pPr>
      <w:r>
        <w:rPr>
          <w:rFonts w:ascii="Cambria" w:hAnsi="Cambria"/>
        </w:rPr>
        <w:t xml:space="preserve">Vino y cerveza: graduación, extracto seco, acidez, SO2, espuma.</w:t>
      </w:r>
    </w:p>
    <w:p>
      <w:pPr>
        <w:numPr>
          <w:ilvl w:val="1"/>
          <w:numId w:val="1"/>
        </w:numPr>
        <w:jc w:val="both"/>
        <w:rPr>
          <w:rFonts w:ascii="Cambria" w:hAnsi="Cambria"/>
        </w:rPr>
      </w:pPr>
      <w:r>
        <w:rPr>
          <w:rFonts w:ascii="Cambria" w:hAnsi="Cambria"/>
        </w:rPr>
        <w:t xml:space="preserve">Aceite de oliva virgen: acidez libre (</w:t>
      </w:r>
      <w:r>
        <w:rPr>
          <w:rFonts w:ascii="Cambria" w:hAnsi="Cambria"/>
          <w:b/>
          <w:bCs/>
        </w:rPr>
        <w:t xml:space="preserve">≤0,8%</w:t>
      </w:r>
      <w:r>
        <w:rPr>
          <w:rFonts w:ascii="Cambria" w:hAnsi="Cambria"/>
        </w:rPr>
        <w:t xml:space="preserve"> para Virgen Extra), índice de peróxidos, absorbancia UV, panel de cata.</w:t>
      </w:r>
    </w:p>
    <w:p>
      <w:pPr>
        <w:numPr>
          <w:ilvl w:val="1"/>
          <w:numId w:val="1"/>
        </w:numPr>
        <w:jc w:val="both"/>
        <w:rPr>
          <w:rFonts w:ascii="Cambria" w:hAnsi="Cambria"/>
        </w:rPr>
      </w:pPr>
      <w:r>
        <w:rPr>
          <w:rFonts w:ascii="Cambria" w:hAnsi="Cambria"/>
        </w:rPr>
        <w:t xml:space="preserve">Condimentos y platos preparados: poder colorante, cenizas, estabilidad térmica, etiquetado.</w:t>
      </w:r>
    </w:p>
    <w:p>
      <w:pPr>
        <w:pStyle w:val="Ttulo1"/>
        <w:jc w:val="both"/>
        <w:rPr>
          <w:rFonts w:ascii="Cambria" w:hAnsi="Cambria"/>
          <w:b/>
          <w:bCs/>
          <w:color w:val="auto"/>
          <w:sz w:val="28"/>
          <w:szCs w:val="28"/>
        </w:rPr>
      </w:pPr>
      <w:r>
        <w:rPr>
          <w:rFonts w:ascii="Cambria" w:hAnsi="Cambria"/>
          <w:b/>
          <w:bCs/>
          <w:color w:val="auto"/>
          <w:sz w:val="28"/>
          <w:szCs w:val="28"/>
        </w:rPr>
        <w:t xml:space="preserve">4. COMPOSICIÓN FÍSICO-QUÍMICA Y NUTRICIONAL DE LOS ALIMENTOS</w:t>
      </w:r>
    </w:p>
    <w:p>
      <w:pPr>
        <w:pStyle w:val="Ttulo2"/>
        <w:jc w:val="both"/>
        <w:rPr>
          <w:rFonts w:ascii="Cambria" w:hAnsi="Cambria"/>
          <w:b/>
          <w:bCs/>
          <w:color w:val="auto"/>
          <w:sz w:val="24"/>
          <w:szCs w:val="24"/>
        </w:rPr>
      </w:pPr>
      <w:r>
        <w:rPr>
          <w:rFonts w:ascii="Cambria" w:hAnsi="Cambria"/>
          <w:b/>
          <w:bCs/>
          <w:color w:val="auto"/>
          <w:sz w:val="24"/>
          <w:szCs w:val="24"/>
        </w:rPr>
        <w:t xml:space="preserve">4.1. Tipos de alimentos</w:t>
      </w:r>
    </w:p>
    <w:p>
      <w:pPr>
        <w:numPr>
          <w:ilvl w:val="0"/>
          <w:numId w:val="1"/>
        </w:numPr>
        <w:jc w:val="both"/>
        <w:rPr>
          <w:rFonts w:ascii="Cambria" w:hAnsi="Cambria"/>
        </w:rPr>
      </w:pPr>
      <w:r>
        <w:rPr>
          <w:rFonts w:ascii="Cambria" w:hAnsi="Cambria"/>
        </w:rPr>
        <w:t xml:space="preserve">Frutas y hortalizas: agua, fibra, minerales, vitamina C y carotenoides.</w:t>
      </w:r>
    </w:p>
    <w:p>
      <w:pPr>
        <w:numPr>
          <w:ilvl w:val="0"/>
          <w:numId w:val="1"/>
        </w:numPr>
        <w:jc w:val="both"/>
        <w:rPr>
          <w:rFonts w:ascii="Cambria" w:hAnsi="Cambria"/>
        </w:rPr>
      </w:pPr>
      <w:r>
        <w:rPr>
          <w:rFonts w:ascii="Cambria" w:hAnsi="Cambria"/>
        </w:rPr>
        <w:t xml:space="preserve">Cereales: hidratos de carbono complejos, fibra, vitaminas del grupo B, zinc, hierro, manganeso.</w:t>
      </w:r>
    </w:p>
    <w:p>
      <w:pPr>
        <w:numPr>
          <w:ilvl w:val="0"/>
          <w:numId w:val="1"/>
        </w:numPr>
        <w:jc w:val="both"/>
        <w:rPr>
          <w:rFonts w:ascii="Cambria" w:hAnsi="Cambria"/>
        </w:rPr>
      </w:pPr>
      <w:r>
        <w:rPr>
          <w:rFonts w:ascii="Cambria" w:hAnsi="Cambria"/>
        </w:rPr>
        <w:t xml:space="preserve">Legumbres: almidón y proteína vegetal limitante en aminoácidos azufrados.</w:t>
      </w:r>
    </w:p>
    <w:p>
      <w:pPr>
        <w:numPr>
          <w:ilvl w:val="0"/>
          <w:numId w:val="1"/>
        </w:numPr>
        <w:jc w:val="both"/>
        <w:rPr>
          <w:rFonts w:ascii="Cambria" w:hAnsi="Cambria"/>
        </w:rPr>
      </w:pPr>
      <w:r>
        <w:rPr>
          <w:rFonts w:ascii="Cambria" w:hAnsi="Cambria"/>
        </w:rPr>
        <w:t xml:space="preserve">Carnes, pescados y huevos: proteínas de alto valor biológico. Carne magra: ~20% proteína, ~60-75% agua. Pescados azules: omega-3 (EPA, DHA), vitaminas A y D.</w:t>
      </w:r>
    </w:p>
    <w:p>
      <w:pPr>
        <w:numPr>
          <w:ilvl w:val="0"/>
          <w:numId w:val="1"/>
        </w:numPr>
        <w:jc w:val="both"/>
        <w:rPr>
          <w:rFonts w:ascii="Cambria" w:hAnsi="Cambria"/>
        </w:rPr>
      </w:pPr>
      <w:r>
        <w:rPr>
          <w:rFonts w:ascii="Cambria" w:hAnsi="Cambria"/>
        </w:rPr>
        <w:t xml:space="preserve">Leche y derivados: caseínas, proteínas del suero, calcio y fósforo.</w:t>
      </w:r>
    </w:p>
    <w:p>
      <w:pPr>
        <w:numPr>
          <w:ilvl w:val="0"/>
          <w:numId w:val="1"/>
        </w:numPr>
        <w:jc w:val="both"/>
        <w:rPr>
          <w:rFonts w:ascii="Cambria" w:hAnsi="Cambria"/>
        </w:rPr>
      </w:pPr>
      <w:r>
        <w:rPr>
          <w:rFonts w:ascii="Cambria" w:hAnsi="Cambria"/>
        </w:rPr>
        <w:t xml:space="preserve">Azúcares y confituras: hidratos de carbono sencillos.</w:t>
      </w:r>
    </w:p>
    <w:p>
      <w:pPr>
        <w:numPr>
          <w:ilvl w:val="0"/>
          <w:numId w:val="1"/>
        </w:numPr>
        <w:jc w:val="both"/>
        <w:rPr>
          <w:rFonts w:ascii="Cambria" w:hAnsi="Cambria"/>
        </w:rPr>
      </w:pPr>
      <w:r>
        <w:rPr>
          <w:rFonts w:ascii="Cambria" w:hAnsi="Cambria"/>
        </w:rPr>
        <w:t xml:space="preserve">Grasas y aceites: mayor densidad energética (</w:t>
      </w:r>
      <w:r>
        <w:rPr>
          <w:rFonts w:ascii="Cambria" w:hAnsi="Cambria"/>
          <w:b/>
          <w:bCs/>
        </w:rPr>
        <w:t xml:space="preserve">9 kcal/g</w:t>
      </w:r>
      <w:r>
        <w:rPr>
          <w:rFonts w:ascii="Cambria" w:hAnsi="Cambria"/>
        </w:rPr>
        <w:t xml:space="preserve">), ácidos grasos esenciales, vitaminas liposolubles.</w:t>
      </w:r>
    </w:p>
    <w:p>
      <w:pPr>
        <w:pStyle w:val="Ttulo2"/>
        <w:jc w:val="both"/>
        <w:rPr>
          <w:rFonts w:ascii="Cambria" w:hAnsi="Cambria"/>
          <w:b/>
          <w:bCs/>
          <w:color w:val="auto"/>
          <w:sz w:val="24"/>
          <w:szCs w:val="24"/>
        </w:rPr>
      </w:pPr>
      <w:r>
        <w:rPr>
          <w:rFonts w:ascii="Cambria" w:hAnsi="Cambria"/>
          <w:b/>
          <w:bCs/>
          <w:color w:val="auto"/>
          <w:sz w:val="24"/>
          <w:szCs w:val="24"/>
        </w:rPr>
        <w:t xml:space="preserve">4.2. Composición primaria</w:t>
      </w:r>
    </w:p>
    <w:p>
      <w:pPr>
        <w:numPr>
          <w:ilvl w:val="0"/>
          <w:numId w:val="1"/>
        </w:numPr>
        <w:jc w:val="both"/>
        <w:rPr>
          <w:rFonts w:ascii="Cambria" w:hAnsi="Cambria"/>
        </w:rPr>
      </w:pPr>
      <w:r>
        <w:rPr>
          <w:rFonts w:ascii="Cambria" w:hAnsi="Cambria"/>
        </w:rPr>
        <w:t xml:space="preserve">Principios inmediatos: proteínas, lípidos, hidratos de carbono, vitaminas, minerales, agua.</w:t>
      </w:r>
    </w:p>
    <w:p>
      <w:pPr>
        <w:numPr>
          <w:ilvl w:val="0"/>
          <w:numId w:val="1"/>
        </w:numPr>
        <w:jc w:val="both"/>
        <w:rPr>
          <w:rFonts w:ascii="Cambria" w:hAnsi="Cambria"/>
        </w:rPr>
      </w:pPr>
      <w:r>
        <w:rPr>
          <w:rFonts w:ascii="Cambria" w:hAnsi="Cambria"/>
          <w:b/>
          <w:bCs/>
        </w:rPr>
        <w:t xml:space="preserve">Alteración voluntaria</w:t>
      </w:r>
      <w:r>
        <w:rPr>
          <w:rFonts w:ascii="Cambria" w:hAnsi="Cambria"/>
        </w:rPr>
        <w:t xml:space="preserve">: procesamiento tecnológico (concentración, fermentación, aditivos).</w:t>
      </w:r>
    </w:p>
    <w:p>
      <w:pPr>
        <w:numPr>
          <w:ilvl w:val="0"/>
          <w:numId w:val="1"/>
        </w:numPr>
        <w:jc w:val="both"/>
        <w:rPr>
          <w:rFonts w:ascii="Cambria" w:hAnsi="Cambria"/>
        </w:rPr>
      </w:pPr>
      <w:r>
        <w:rPr>
          <w:rFonts w:ascii="Cambria" w:hAnsi="Cambria"/>
          <w:b/>
          <w:bCs/>
        </w:rPr>
        <w:t xml:space="preserve">Alteración involuntaria</w:t>
      </w:r>
      <w:r>
        <w:rPr>
          <w:rFonts w:ascii="Cambria" w:hAnsi="Cambria"/>
        </w:rPr>
        <w:t xml:space="preserve">: contaminación química (plaguicidas, metales pesados, toxinas, antibióticos, hormonas prohibidas en la UE).</w:t>
      </w:r>
    </w:p>
    <w:p>
      <w:pPr>
        <w:numPr>
          <w:ilvl w:val="0"/>
          <w:numId w:val="1"/>
        </w:numPr>
        <w:jc w:val="both"/>
        <w:rPr>
          <w:rFonts w:ascii="Cambria" w:hAnsi="Cambria"/>
        </w:rPr>
      </w:pPr>
      <w:r>
        <w:rPr>
          <w:rFonts w:ascii="Cambria" w:hAnsi="Cambria"/>
        </w:rPr>
        <w:t xml:space="preserve">Sistema de control obligatorio: </w:t>
      </w:r>
      <w:r>
        <w:rPr>
          <w:rFonts w:ascii="Cambria" w:hAnsi="Cambria"/>
          <w:b/>
          <w:bCs/>
        </w:rPr>
        <w:t xml:space="preserve">APPCC</w:t>
      </w:r>
      <w:r>
        <w:rPr>
          <w:rFonts w:ascii="Cambria" w:hAnsi="Cambria"/>
        </w:rPr>
        <w:t xml:space="preserve"> (Análisis de Peligros y Puntos Críticos de Control).</w:t>
      </w:r>
    </w:p>
    <w:p>
      <w:pPr>
        <w:numPr>
          <w:ilvl w:val="0"/>
          <w:numId w:val="1"/>
        </w:numPr>
        <w:jc w:val="both"/>
        <w:rPr>
          <w:rFonts w:ascii="Cambria" w:hAnsi="Cambria"/>
        </w:rPr>
      </w:pPr>
      <w:r>
        <w:rPr>
          <w:rFonts w:ascii="Cambria" w:hAnsi="Cambria"/>
        </w:rPr>
        <w:t xml:space="preserve">Modelos de producción sostenible: producción integrada y producción ecológica, regulada por el </w:t>
      </w:r>
      <w:r>
        <w:rPr>
          <w:rFonts w:ascii="Cambria" w:hAnsi="Cambria"/>
          <w:b/>
          <w:bCs/>
        </w:rPr>
        <w:t xml:space="preserve">Reglamento (UE) 2018/848</w:t>
      </w:r>
      <w:r>
        <w:rPr>
          <w:rFonts w:ascii="Cambria" w:hAnsi="Cambria"/>
        </w:rPr>
        <w:t xml:space="preserve">.</w:t>
      </w:r>
    </w:p>
    <w:p>
      <w:pPr>
        <w:pStyle w:val="Ttulo2"/>
        <w:jc w:val="both"/>
        <w:rPr>
          <w:rFonts w:ascii="Cambria" w:hAnsi="Cambria"/>
          <w:b/>
          <w:bCs/>
          <w:color w:val="auto"/>
          <w:sz w:val="24"/>
          <w:szCs w:val="24"/>
        </w:rPr>
      </w:pPr>
      <w:r>
        <w:rPr>
          <w:rFonts w:ascii="Cambria" w:hAnsi="Cambria"/>
          <w:b/>
          <w:bCs/>
          <w:color w:val="auto"/>
          <w:sz w:val="24"/>
          <w:szCs w:val="24"/>
        </w:rPr>
        <w:t xml:space="preserve">4.3. Etiquetado nutricional</w:t>
      </w:r>
    </w:p>
    <w:p>
      <w:pPr>
        <w:numPr>
          <w:ilvl w:val="0"/>
          <w:numId w:val="1"/>
        </w:numPr>
        <w:jc w:val="both"/>
        <w:rPr>
          <w:rFonts w:ascii="Cambria" w:hAnsi="Cambria"/>
        </w:rPr>
      </w:pPr>
      <w:r>
        <w:rPr>
          <w:rFonts w:ascii="Cambria" w:hAnsi="Cambria"/>
        </w:rPr>
        <w:t xml:space="preserve">Marco histórico: </w:t>
      </w:r>
      <w:r>
        <w:rPr>
          <w:rFonts w:ascii="Cambria" w:hAnsi="Cambria"/>
          <w:b/>
          <w:bCs/>
        </w:rPr>
        <w:t xml:space="preserve">Directiva 90/496/CEE</w:t>
      </w:r>
      <w:r>
        <w:rPr>
          <w:rFonts w:ascii="Cambria" w:hAnsi="Cambria"/>
        </w:rPr>
        <w:t xml:space="preserve">, traspuesta por el </w:t>
      </w:r>
      <w:r>
        <w:rPr>
          <w:rFonts w:ascii="Cambria" w:hAnsi="Cambria"/>
          <w:b/>
          <w:bCs/>
        </w:rPr>
        <w:t xml:space="preserve">Real Decreto 930/1992</w:t>
      </w:r>
      <w:r>
        <w:rPr>
          <w:rFonts w:ascii="Cambria" w:hAnsi="Cambria"/>
        </w:rPr>
        <w:t xml:space="preserve"> sobre información alimentaria al consumidor.</w:t>
      </w:r>
    </w:p>
    <w:p>
      <w:pPr>
        <w:numPr>
          <w:ilvl w:val="0"/>
          <w:numId w:val="1"/>
        </w:numPr>
        <w:jc w:val="both"/>
        <w:rPr>
          <w:rFonts w:ascii="Cambria" w:hAnsi="Cambria"/>
        </w:rPr>
      </w:pPr>
      <w:r>
        <w:rPr>
          <w:rFonts w:ascii="Cambria" w:hAnsi="Cambria"/>
        </w:rPr>
        <w:t xml:space="preserve">Según el artículo 30, la información nutricional obligatoria debe figurar en tabla e incluir: valor energético (kJ y kcal), grasas, ácidos grasos saturados, hidratos de carbono, azúcares, proteínas y sal.</w:t>
      </w:r>
    </w:p>
    <w:p>
      <w:pPr>
        <w:numPr>
          <w:ilvl w:val="0"/>
          <w:numId w:val="1"/>
        </w:numPr>
        <w:jc w:val="both"/>
        <w:rPr>
          <w:rFonts w:ascii="Cambria" w:hAnsi="Cambria"/>
        </w:rPr>
      </w:pPr>
      <w:r>
        <w:rPr>
          <w:rFonts w:ascii="Cambria" w:hAnsi="Cambria"/>
        </w:rPr>
        <w:t xml:space="preserve">Declaración voluntaria adicional: ácidos grasos mono/poliinsaturados, polialcoholes, almidón, fibra, vitaminas y minerales.</w:t>
      </w:r>
    </w:p>
    <w:p>
      <w:pPr>
        <w:numPr>
          <w:ilvl w:val="0"/>
          <w:numId w:val="1"/>
        </w:numPr>
        <w:jc w:val="both"/>
        <w:rPr>
          <w:rFonts w:ascii="Cambria" w:hAnsi="Cambria"/>
        </w:rPr>
      </w:pPr>
      <w:r>
        <w:rPr>
          <w:rFonts w:ascii="Cambria" w:hAnsi="Cambria"/>
        </w:rPr>
        <w:t xml:space="preserve">Los artículos 31 a 35 exigen el cálculo por </w:t>
      </w:r>
      <w:r>
        <w:rPr>
          <w:rFonts w:ascii="Cambria" w:hAnsi="Cambria"/>
          <w:b/>
          <w:bCs/>
        </w:rPr>
        <w:t xml:space="preserve">100 g o 100 ml</w:t>
      </w:r>
      <w:r>
        <w:rPr>
          <w:rFonts w:ascii="Cambria" w:hAnsi="Cambria"/>
        </w:rPr>
        <w:t xml:space="preserve">, con posibilidad de expresión por porción.</w:t>
      </w:r>
    </w:p>
    <w:p>
      <w:pPr>
        <w:numPr>
          <w:ilvl w:val="0"/>
          <w:numId w:val="1"/>
        </w:numPr>
        <w:jc w:val="both"/>
        <w:rPr>
          <w:rFonts w:ascii="Cambria" w:hAnsi="Cambria"/>
        </w:rPr>
      </w:pPr>
      <w:r>
        <w:rPr>
          <w:rFonts w:ascii="Cambria" w:hAnsi="Cambria"/>
        </w:rPr>
        <w:t xml:space="preserve">En Estados Unidos, la </w:t>
      </w:r>
      <w:r>
        <w:rPr>
          <w:rFonts w:ascii="Cambria" w:hAnsi="Cambria"/>
          <w:b/>
          <w:bCs/>
        </w:rPr>
        <w:t xml:space="preserve">FDA</w:t>
      </w:r>
      <w:r>
        <w:rPr>
          <w:rFonts w:ascii="Cambria" w:hAnsi="Cambria"/>
        </w:rPr>
        <w:t xml:space="preserve"> exige el panel Nutrition Facts, centrado en las raciones habituales de consumo (RACC).</w:t>
      </w:r>
    </w:p>
    <w:p>
      <w:pPr>
        <w:pStyle w:val="Ttulo1"/>
        <w:jc w:val="both"/>
        <w:rPr>
          <w:rFonts w:ascii="Cambria" w:hAnsi="Cambria"/>
          <w:b/>
          <w:bCs/>
          <w:color w:val="auto"/>
          <w:sz w:val="28"/>
          <w:szCs w:val="28"/>
        </w:rPr>
      </w:pPr>
      <w:r>
        <w:rPr>
          <w:rFonts w:ascii="Cambria" w:hAnsi="Cambria"/>
          <w:b/>
          <w:bCs/>
          <w:color w:val="auto"/>
          <w:sz w:val="28"/>
          <w:szCs w:val="28"/>
        </w:rPr>
        <w:t xml:space="preserve">5. CLASIFICACIÓN POR CATEGORÍAS COMERCIALES DE CALIDAD</w:t>
      </w:r>
    </w:p>
    <w:p>
      <w:pPr>
        <w:pStyle w:val="Ttulo2"/>
        <w:jc w:val="both"/>
        <w:rPr>
          <w:rFonts w:ascii="Cambria" w:hAnsi="Cambria"/>
          <w:b/>
          <w:bCs/>
          <w:color w:val="auto"/>
          <w:sz w:val="24"/>
          <w:szCs w:val="24"/>
        </w:rPr>
      </w:pPr>
      <w:r>
        <w:rPr>
          <w:rFonts w:ascii="Cambria" w:hAnsi="Cambria"/>
          <w:b/>
          <w:bCs/>
          <w:color w:val="auto"/>
          <w:sz w:val="24"/>
          <w:szCs w:val="24"/>
        </w:rPr>
        <w:t xml:space="preserve">5.1. Normas-Cuadro internacionales</w:t>
      </w:r>
    </w:p>
    <w:p>
      <w:pPr>
        <w:numPr>
          <w:ilvl w:val="0"/>
          <w:numId w:val="1"/>
        </w:numPr>
        <w:jc w:val="both"/>
        <w:rPr>
          <w:rFonts w:ascii="Cambria" w:hAnsi="Cambria"/>
        </w:rPr>
      </w:pPr>
      <w:r>
        <w:rPr>
          <w:rFonts w:ascii="Cambria" w:hAnsi="Cambria"/>
        </w:rPr>
        <w:t xml:space="preserve">Referencias clave: Normas de Calidad Agrícola de la </w:t>
      </w:r>
      <w:r>
        <w:rPr>
          <w:rFonts w:ascii="Cambria" w:hAnsi="Cambria"/>
          <w:b/>
          <w:bCs/>
        </w:rPr>
        <w:t xml:space="preserve">CEPE/NU</w:t>
      </w:r>
      <w:r>
        <w:rPr>
          <w:rFonts w:ascii="Cambria" w:hAnsi="Cambria"/>
        </w:rPr>
        <w:t xml:space="preserve">, base de los estándares de la OCDE, el Codex Alimentarius y las Normas de Comercialización de la UE.</w:t>
      </w:r>
    </w:p>
    <w:p>
      <w:pPr>
        <w:numPr>
          <w:ilvl w:val="0"/>
          <w:numId w:val="1"/>
        </w:numPr>
        <w:jc w:val="both"/>
        <w:rPr>
          <w:rFonts w:ascii="Cambria" w:hAnsi="Cambria"/>
        </w:rPr>
      </w:pPr>
      <w:r>
        <w:rPr>
          <w:rFonts w:ascii="Cambria" w:hAnsi="Cambria"/>
        </w:rPr>
        <w:t xml:space="preserve">Formato de Normas-Cuadro del antiguo Protocolo de Ginebra, actualizado por el </w:t>
      </w:r>
      <w:r>
        <w:rPr>
          <w:rFonts w:ascii="Cambria" w:hAnsi="Cambria"/>
          <w:b/>
          <w:bCs/>
        </w:rPr>
        <w:t xml:space="preserve">Geneva Understanding</w:t>
      </w:r>
      <w:r>
        <w:rPr>
          <w:rFonts w:ascii="Cambria" w:hAnsi="Cambria"/>
        </w:rPr>
        <w:t xml:space="preserve">.</w:t>
      </w:r>
    </w:p>
    <w:p>
      <w:pPr>
        <w:numPr>
          <w:ilvl w:val="0"/>
          <w:numId w:val="1"/>
        </w:numPr>
        <w:jc w:val="both"/>
        <w:rPr>
          <w:rFonts w:ascii="Cambria" w:hAnsi="Cambria"/>
        </w:rPr>
      </w:pPr>
      <w:r>
        <w:rPr>
          <w:rFonts w:ascii="Cambria" w:hAnsi="Cambria"/>
        </w:rPr>
        <w:t xml:space="preserve">Estructura estandarizada: definición, disposiciones de calidad (características mínimas, madurez, categorías), calibrado, tolerancias, presentación y marcado.</w:t>
      </w:r>
    </w:p>
    <w:p>
      <w:pPr>
        <w:pStyle w:val="Ttulo2"/>
        <w:jc w:val="both"/>
        <w:rPr>
          <w:rFonts w:ascii="Cambria" w:hAnsi="Cambria"/>
          <w:b/>
          <w:bCs/>
          <w:color w:val="auto"/>
          <w:sz w:val="24"/>
          <w:szCs w:val="24"/>
        </w:rPr>
      </w:pPr>
      <w:r>
        <w:rPr>
          <w:rFonts w:ascii="Cambria" w:hAnsi="Cambria"/>
          <w:b/>
          <w:bCs/>
          <w:color w:val="auto"/>
          <w:sz w:val="24"/>
          <w:szCs w:val="24"/>
        </w:rPr>
        <w:t xml:space="preserve">5.2. Categorías comerciales</w:t>
      </w:r>
    </w:p>
    <w:p>
      <w:pPr>
        <w:numPr>
          <w:ilvl w:val="0"/>
          <w:numId w:val="1"/>
        </w:numPr>
        <w:jc w:val="both"/>
        <w:rPr>
          <w:rFonts w:ascii="Cambria" w:hAnsi="Cambria"/>
        </w:rPr>
      </w:pPr>
      <w:r>
        <w:rPr>
          <w:rFonts w:ascii="Cambria" w:hAnsi="Cambria"/>
          <w:b/>
          <w:bCs/>
        </w:rPr>
        <w:t xml:space="preserve">Extra</w:t>
      </w:r>
      <w:r>
        <w:rPr>
          <w:rFonts w:ascii="Cambria" w:hAnsi="Cambria"/>
        </w:rPr>
        <w:t xml:space="preserve">: calidad superior, forma y color típicos de la variedad, sin defectos salvo alteraciones superficiales inapreciables.</w:t>
      </w:r>
    </w:p>
    <w:p>
      <w:pPr>
        <w:numPr>
          <w:ilvl w:val="0"/>
          <w:numId w:val="1"/>
        </w:numPr>
        <w:jc w:val="both"/>
        <w:rPr>
          <w:rFonts w:ascii="Cambria" w:hAnsi="Cambria"/>
        </w:rPr>
      </w:pPr>
      <w:r>
        <w:rPr>
          <w:rFonts w:ascii="Cambria" w:hAnsi="Cambria"/>
          <w:b/>
          <w:bCs/>
        </w:rPr>
        <w:t xml:space="preserve">Categoría I</w:t>
      </w:r>
      <w:r>
        <w:rPr>
          <w:rFonts w:ascii="Cambria" w:hAnsi="Cambria"/>
        </w:rPr>
        <w:t xml:space="preserve">: buena calidad, se admiten defectos leves de forma, color o piel que no perjudiquen el aspecto general.</w:t>
      </w:r>
    </w:p>
    <w:p>
      <w:pPr>
        <w:numPr>
          <w:ilvl w:val="0"/>
          <w:numId w:val="1"/>
        </w:numPr>
        <w:jc w:val="both"/>
        <w:rPr>
          <w:rFonts w:ascii="Cambria" w:hAnsi="Cambria"/>
        </w:rPr>
      </w:pPr>
      <w:r>
        <w:rPr>
          <w:rFonts w:ascii="Cambria" w:hAnsi="Cambria"/>
          <w:b/>
          <w:bCs/>
        </w:rPr>
        <w:t xml:space="preserve">Categoría II</w:t>
      </w:r>
      <w:r>
        <w:rPr>
          <w:rFonts w:ascii="Cambria" w:hAnsi="Cambria"/>
        </w:rPr>
        <w:t xml:space="preserve">: cumple los requisitos mínimos, admite defectos más marcados siempre que conserve sus características esenciales y sea apto para el consumo.</w:t>
      </w:r>
    </w:p>
    <w:p>
      <w:pPr>
        <w:numPr>
          <w:ilvl w:val="0"/>
          <w:numId w:val="1"/>
        </w:numPr>
        <w:jc w:val="both"/>
        <w:rPr>
          <w:rFonts w:ascii="Cambria" w:hAnsi="Cambria"/>
        </w:rPr>
      </w:pPr>
      <w:r>
        <w:rPr>
          <w:rFonts w:ascii="Cambria" w:hAnsi="Cambria"/>
        </w:rPr>
        <w:t xml:space="preserve">Bajo la Norma General de Comercialización no se exige división por categorías, solo requisitos mínimos y etiquetado de origen.</w:t>
      </w:r>
    </w:p>
    <w:p>
      <w:pPr>
        <w:pStyle w:val="Ttulo2"/>
        <w:jc w:val="both"/>
        <w:rPr>
          <w:rFonts w:ascii="Cambria" w:hAnsi="Cambria"/>
          <w:b/>
          <w:bCs/>
          <w:color w:val="auto"/>
          <w:sz w:val="24"/>
          <w:szCs w:val="24"/>
        </w:rPr>
      </w:pPr>
      <w:r>
        <w:rPr>
          <w:rFonts w:ascii="Cambria" w:hAnsi="Cambria"/>
          <w:b/>
          <w:bCs/>
          <w:color w:val="auto"/>
          <w:sz w:val="24"/>
          <w:szCs w:val="24"/>
        </w:rPr>
        <w:t xml:space="preserve">5.3. Régimen de tolerancias comerciales</w:t>
      </w:r>
    </w:p>
    <w:p>
      <w:pPr>
        <w:numPr>
          <w:ilvl w:val="0"/>
          <w:numId w:val="1"/>
        </w:numPr>
        <w:jc w:val="both"/>
        <w:rPr>
          <w:rFonts w:ascii="Cambria" w:hAnsi="Cambria"/>
        </w:rPr>
      </w:pPr>
      <w:r>
        <w:rPr>
          <w:rFonts w:ascii="Cambria" w:hAnsi="Cambria"/>
          <w:b/>
          <w:bCs/>
        </w:rPr>
        <w:t xml:space="preserve">Categoría Extra</w:t>
      </w:r>
      <w:r>
        <w:rPr>
          <w:rFonts w:ascii="Cambria" w:hAnsi="Cambria"/>
        </w:rPr>
        <w:t xml:space="preserve">: 5% de producto de Categoría I, con un máximo de 0,5% de Categoría II.</w:t>
      </w:r>
    </w:p>
    <w:p>
      <w:pPr>
        <w:numPr>
          <w:ilvl w:val="0"/>
          <w:numId w:val="1"/>
        </w:numPr>
        <w:jc w:val="both"/>
        <w:rPr>
          <w:rFonts w:ascii="Cambria" w:hAnsi="Cambria"/>
        </w:rPr>
      </w:pPr>
      <w:r>
        <w:rPr>
          <w:rFonts w:ascii="Cambria" w:hAnsi="Cambria"/>
          <w:b/>
          <w:bCs/>
        </w:rPr>
        <w:t xml:space="preserve">Categoría I</w:t>
      </w:r>
      <w:r>
        <w:rPr>
          <w:rFonts w:ascii="Cambria" w:hAnsi="Cambria"/>
        </w:rPr>
        <w:t xml:space="preserve">: 10% de producto de Categoría II, con un máximo de 1% que no cumpla ni Categoría II ni requisitos mínimos.</w:t>
      </w:r>
    </w:p>
    <w:p>
      <w:pPr>
        <w:numPr>
          <w:ilvl w:val="0"/>
          <w:numId w:val="1"/>
        </w:numPr>
        <w:jc w:val="both"/>
        <w:rPr>
          <w:rFonts w:ascii="Cambria" w:hAnsi="Cambria"/>
        </w:rPr>
      </w:pPr>
      <w:r>
        <w:rPr>
          <w:rFonts w:ascii="Cambria" w:hAnsi="Cambria"/>
          <w:b/>
          <w:bCs/>
        </w:rPr>
        <w:t xml:space="preserve">Categoría II</w:t>
      </w:r>
      <w:r>
        <w:rPr>
          <w:rFonts w:ascii="Cambria" w:hAnsi="Cambria"/>
        </w:rPr>
        <w:t xml:space="preserve">: 10% de producto que no cumpla los requisitos de su categoría ni los mínimos, con un máximo del 2% afectado por podredumbre.</w:t>
      </w:r>
    </w:p>
    <w:p>
      <w:pPr>
        <w:numPr>
          <w:ilvl w:val="0"/>
          <w:numId w:val="1"/>
        </w:numPr>
        <w:jc w:val="both"/>
        <w:rPr>
          <w:rFonts w:ascii="Cambria" w:hAnsi="Cambria"/>
        </w:rPr>
      </w:pPr>
      <w:r>
        <w:rPr>
          <w:rFonts w:ascii="Cambria" w:hAnsi="Cambria"/>
          <w:b/>
          <w:bCs/>
        </w:rPr>
        <w:t xml:space="preserve">Tolerancia de calibre</w:t>
      </w:r>
      <w:r>
        <w:rPr>
          <w:rFonts w:ascii="Cambria" w:hAnsi="Cambria"/>
        </w:rPr>
        <w:t xml:space="preserve">: 10% en peso o número de frutos por lote, uniforme para todas las categorías.</w:t>
      </w:r>
    </w:p>
    <w:p>
      <w:pPr>
        <w:pStyle w:val="Ttulo1"/>
        <w:jc w:val="both"/>
        <w:rPr>
          <w:rFonts w:ascii="Cambria" w:hAnsi="Cambria"/>
          <w:b/>
          <w:bCs/>
          <w:color w:val="auto"/>
          <w:sz w:val="28"/>
          <w:szCs w:val="28"/>
        </w:rPr>
      </w:pPr>
      <w:r>
        <w:rPr>
          <w:rFonts w:ascii="Cambria" w:hAnsi="Cambria"/>
          <w:b/>
          <w:bCs/>
          <w:color w:val="auto"/>
          <w:sz w:val="28"/>
          <w:szCs w:val="28"/>
        </w:rPr>
        <w:t xml:space="preserve">6. CONCLUSIÓN</w:t>
      </w:r>
    </w:p>
    <w:p>
      <w:pPr>
        <w:numPr>
          <w:ilvl w:val="0"/>
          <w:numId w:val="1"/>
        </w:numPr>
        <w:jc w:val="both"/>
        <w:rPr>
          <w:rFonts w:ascii="Cambria" w:hAnsi="Cambria"/>
        </w:rPr>
      </w:pPr>
      <w:r>
        <w:rPr>
          <w:rFonts w:ascii="Cambria" w:hAnsi="Cambria"/>
        </w:rPr>
        <w:t xml:space="preserve">Los criterios de calidad comercial (factores externos e internos, madurez, sanidad vegetal y humana, composición y categorías) constituyen el fundamento técnico de la inspección y certificación.</w:t>
      </w:r>
    </w:p>
    <w:p>
      <w:pPr>
        <w:numPr>
          <w:ilvl w:val="0"/>
          <w:numId w:val="1"/>
        </w:numPr>
        <w:jc w:val="both"/>
        <w:rPr>
          <w:rFonts w:ascii="Cambria" w:hAnsi="Cambria"/>
        </w:rPr>
      </w:pPr>
      <w:r>
        <w:rPr>
          <w:rFonts w:ascii="Cambria" w:hAnsi="Cambria"/>
        </w:rPr>
        <w:t xml:space="preserve">La distinción entre calidad externa e interna, entre frutos climatéricos y no climatéricos, y el esquema de Normas-Cuadro heredado del Protocolo de Ginebra proporcionan un marco estable aplicable a la generalidad de los productos agroalimentarios.</w:t>
      </w:r>
    </w:p>
    <w:p>
      <w:pPr>
        <w:numPr>
          <w:ilvl w:val="0"/>
          <w:numId w:val="1"/>
        </w:numPr>
        <w:jc w:val="both"/>
        <w:rPr>
          <w:rFonts w:ascii="Cambria" w:hAnsi="Cambria"/>
        </w:rPr>
      </w:pPr>
      <w:r>
        <w:rPr>
          <w:rFonts w:ascii="Cambria" w:hAnsi="Cambria"/>
        </w:rPr>
        <w:t xml:space="preserve">Para el Servicio de Inspección </w:t>
      </w:r>
      <w:r>
        <w:rPr>
          <w:rFonts w:ascii="Cambria" w:hAnsi="Cambria"/>
          <w:b/>
          <w:bCs/>
        </w:rPr>
        <w:t xml:space="preserve">SOIVRE</w:t>
      </w:r>
      <w:r>
        <w:rPr>
          <w:rFonts w:ascii="Cambria" w:hAnsi="Cambria"/>
        </w:rPr>
        <w:t xml:space="preserve">, el dominio de estos criterios técnicos es tan indispensable como el marco jurídico, pues son los factores verificados en cada inspección para determinar la conformidad de la mercancía con su categoría comercial declarada.</w:t>
      </w:r>
    </w:p>
    <w:sectPr w:rsidR="00A65383" w:rsidRPr="007114D7">
      <w:footerReference w:type="default" r:id="rId900"/>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E737" w14:textId="77777777" w:rsidR="00F85B76" w:rsidRDefault="00F85B76" w:rsidP="00F85B76">
      <w:pPr>
        <w:spacing w:after="0" w:line="240" w:lineRule="auto"/>
      </w:pPr>
      <w:r>
        <w:separator/>
      </w:r>
    </w:p>
  </w:endnote>
  <w:endnote w:type="continuationSeparator" w:id="0">
    <w:p w14:paraId="147C91B0" w14:textId="77777777" w:rsidR="00F85B76" w:rsidRDefault="00F85B76" w:rsidP="00F8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http://schemas.openxmlformats.org/wordprocessingml/2006/main">
  <w:p>
    <w:pPr>
      <w:pStyle w:val="Piedepgina"/>
      <w:jc w:val="center"/>
      <w:rPr>
        <w:rFonts w:ascii="Palatino Linotype" w:eastAsia="Palatino Linotype" w:hAnsi="Palatino Linotype" w:cs="Palatino Linotype"/>
        <w:b/>
        <w:bCs/>
        <w:color w:val="000000"/>
        <w:sz w:val="24"/>
        <w:szCs w:val="24"/>
      </w:rPr>
    </w:pPr>
    <w:r>
      <w:rPr>
        <w:rFonts w:ascii="Palatino Linotype" w:eastAsia="Palatino Linotype" w:hAnsi="Palatino Linotype" w:cs="Palatino Linotype"/>
        <w:b/>
        <w:bCs/>
        <w:color w:val="000000"/>
        <w:sz w:val="24"/>
        <w:szCs w:val="24"/>
      </w:rPr>
      <w:t>SERGIO ARGUDO SANTIAGO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BA500" w14:textId="77777777" w:rsidR="00F85B76" w:rsidRDefault="00F85B76" w:rsidP="00F85B76">
      <w:pPr>
        <w:spacing w:after="0" w:line="240" w:lineRule="auto"/>
      </w:pPr>
      <w:r>
        <w:separator/>
      </w:r>
    </w:p>
  </w:footnote>
  <w:footnote w:type="continuationSeparator" w:id="0">
    <w:p w14:paraId="5EBB74E5" w14:textId="77777777" w:rsidR="00F85B76" w:rsidRDefault="00F85B76" w:rsidP="00F85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jc w:val="both"/>
      <w:rPr>
        <w:rFonts w:ascii="Palatino Linotype" w:hAnsi="Palatino Linotype"/>
        <w:i/>
        <w:iCs/>
      </w:rPr>
    </w:pPr>
    <w:r>
      <w:rPr>
        <w:rFonts w:ascii="Palatino Linotype" w:hAnsi="Palatino Linotype"/>
        <w:i/>
        <w:iCs/>
      </w:rPr>
      <w:t xml:space="preserve">TEMA 48 – Criterios de calidad comercial: factores y parámetros de calidad comercial. Composición físico-química y nutricional de los alimentos. Clasificación por categorías comerciales de calidad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82A5E"/>
    <w:multiLevelType w:val="multilevel"/>
    <w:tmpl w:val="17686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A086D"/>
    <w:multiLevelType w:val="multilevel"/>
    <w:tmpl w:val="C6368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64527"/>
    <w:multiLevelType w:val="multilevel"/>
    <w:tmpl w:val="4484D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9671D"/>
    <w:multiLevelType w:val="multilevel"/>
    <w:tmpl w:val="FF7AB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45E70"/>
    <w:multiLevelType w:val="multilevel"/>
    <w:tmpl w:val="4CF84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82AA3"/>
    <w:multiLevelType w:val="multilevel"/>
    <w:tmpl w:val="E600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E72879"/>
    <w:multiLevelType w:val="multilevel"/>
    <w:tmpl w:val="C3DA2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A5A7F"/>
    <w:multiLevelType w:val="multilevel"/>
    <w:tmpl w:val="EE363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890683"/>
    <w:multiLevelType w:val="multilevel"/>
    <w:tmpl w:val="F0EA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F2D55"/>
    <w:multiLevelType w:val="multilevel"/>
    <w:tmpl w:val="BCE4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C63FF"/>
    <w:multiLevelType w:val="multilevel"/>
    <w:tmpl w:val="10A6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9A721B"/>
    <w:multiLevelType w:val="multilevel"/>
    <w:tmpl w:val="9654A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D13DD"/>
    <w:multiLevelType w:val="multilevel"/>
    <w:tmpl w:val="88A6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2984031">
    <w:abstractNumId w:val="7"/>
  </w:num>
  <w:num w:numId="2" w16cid:durableId="936329550">
    <w:abstractNumId w:val="4"/>
  </w:num>
  <w:num w:numId="3" w16cid:durableId="11223434">
    <w:abstractNumId w:val="0"/>
  </w:num>
  <w:num w:numId="4" w16cid:durableId="1698307743">
    <w:abstractNumId w:val="12"/>
  </w:num>
  <w:num w:numId="5" w16cid:durableId="1213886216">
    <w:abstractNumId w:val="11"/>
  </w:num>
  <w:num w:numId="6" w16cid:durableId="1037045334">
    <w:abstractNumId w:val="6"/>
  </w:num>
  <w:num w:numId="7" w16cid:durableId="638070075">
    <w:abstractNumId w:val="3"/>
  </w:num>
  <w:num w:numId="8" w16cid:durableId="616715768">
    <w:abstractNumId w:val="10"/>
  </w:num>
  <w:num w:numId="9" w16cid:durableId="1616985504">
    <w:abstractNumId w:val="9"/>
  </w:num>
  <w:num w:numId="10" w16cid:durableId="1055738181">
    <w:abstractNumId w:val="8"/>
  </w:num>
  <w:num w:numId="11" w16cid:durableId="928273277">
    <w:abstractNumId w:val="1"/>
  </w:num>
  <w:num w:numId="12" w16cid:durableId="919099836">
    <w:abstractNumId w:val="2"/>
  </w:num>
  <w:num w:numId="13" w16cid:durableId="522478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B76"/>
    <w:rsid w:val="00457D88"/>
    <w:rsid w:val="005803BC"/>
    <w:rsid w:val="00600D28"/>
    <w:rsid w:val="00656837"/>
    <w:rsid w:val="006A0D39"/>
    <w:rsid w:val="007114D7"/>
    <w:rsid w:val="00975640"/>
    <w:rsid w:val="00A65383"/>
    <w:rsid w:val="00A8675C"/>
    <w:rsid w:val="00BB1DEC"/>
    <w:rsid w:val="00C12CFD"/>
    <w:rsid w:val="00D45530"/>
    <w:rsid w:val="00E15422"/>
    <w:rsid w:val="00E7657A"/>
    <w:rsid w:val="00EE6C5F"/>
    <w:rsid w:val="00F85B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F6C1"/>
  <w15:chartTrackingRefBased/>
  <w15:docId w15:val="{B64D109C-3694-4C93-A841-AE8DEB4F8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B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85B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B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B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B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B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B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B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B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85B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85B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B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B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B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B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B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B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B76"/>
    <w:rPr>
      <w:rFonts w:eastAsiaTheme="majorEastAsia" w:cstheme="majorBidi"/>
      <w:color w:val="272727" w:themeColor="text1" w:themeTint="D8"/>
    </w:rPr>
  </w:style>
  <w:style w:type="paragraph" w:styleId="Ttulo">
    <w:name w:val="Title"/>
    <w:basedOn w:val="Normal"/>
    <w:next w:val="Normal"/>
    <w:link w:val="TtuloCar"/>
    <w:uiPriority w:val="10"/>
    <w:qFormat/>
    <w:rsid w:val="00F85B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B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B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B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B76"/>
    <w:pPr>
      <w:spacing w:before="160"/>
      <w:jc w:val="center"/>
    </w:pPr>
    <w:rPr>
      <w:i/>
      <w:iCs/>
      <w:color w:val="404040" w:themeColor="text1" w:themeTint="BF"/>
    </w:rPr>
  </w:style>
  <w:style w:type="character" w:customStyle="1" w:styleId="CitaCar">
    <w:name w:val="Cita Car"/>
    <w:basedOn w:val="Fuentedeprrafopredeter"/>
    <w:link w:val="Cita"/>
    <w:uiPriority w:val="29"/>
    <w:rsid w:val="00F85B76"/>
    <w:rPr>
      <w:i/>
      <w:iCs/>
      <w:color w:val="404040" w:themeColor="text1" w:themeTint="BF"/>
    </w:rPr>
  </w:style>
  <w:style w:type="character" w:styleId="nfasisintenso">
    <w:name w:val="Intense Emphasis"/>
    <w:basedOn w:val="Fuentedeprrafopredeter"/>
    <w:uiPriority w:val="21"/>
    <w:qFormat/>
    <w:rsid w:val="00F85B76"/>
    <w:rPr>
      <w:i/>
      <w:iCs/>
      <w:color w:val="0F4761" w:themeColor="accent1" w:themeShade="BF"/>
    </w:rPr>
  </w:style>
  <w:style w:type="paragraph" w:styleId="Citadestacada">
    <w:name w:val="Intense Quote"/>
    <w:basedOn w:val="Normal"/>
    <w:next w:val="Normal"/>
    <w:link w:val="CitadestacadaCar"/>
    <w:uiPriority w:val="30"/>
    <w:qFormat/>
    <w:rsid w:val="00F85B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B76"/>
    <w:rPr>
      <w:i/>
      <w:iCs/>
      <w:color w:val="0F4761" w:themeColor="accent1" w:themeShade="BF"/>
    </w:rPr>
  </w:style>
  <w:style w:type="character" w:styleId="Referenciaintensa">
    <w:name w:val="Intense Reference"/>
    <w:basedOn w:val="Fuentedeprrafopredeter"/>
    <w:uiPriority w:val="32"/>
    <w:qFormat/>
    <w:rsid w:val="00F85B76"/>
    <w:rPr>
      <w:b/>
      <w:bCs/>
      <w:smallCaps/>
      <w:color w:val="0F4761" w:themeColor="accent1" w:themeShade="BF"/>
      <w:spacing w:val="5"/>
    </w:rPr>
  </w:style>
  <w:style w:type="paragraph" w:styleId="Encabezado">
    <w:name w:val="header"/>
    <w:basedOn w:val="Normal"/>
    <w:link w:val="EncabezadoCar"/>
    <w:uiPriority w:val="99"/>
    <w:unhideWhenUsed/>
    <w:rsid w:val="00F85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B76"/>
  </w:style>
  <w:style w:type="paragraph" w:styleId="Piedepgina">
    <w:name w:val="footer"/>
    <w:basedOn w:val="Normal"/>
    <w:link w:val="PiedepginaCar"/>
    <w:uiPriority w:val="99"/>
    <w:unhideWhenUsed/>
    <w:rsid w:val="00F85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90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1112</Words>
  <Characters>6119</Characters>
  <Application>Microsoft Office Word</Application>
  <DocSecurity>0</DocSecurity>
  <Lines>50</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9</cp:revision>
  <dcterms:created xsi:type="dcterms:W3CDTF">2025-11-21T17:54:00Z</dcterms:created>
  <dcterms:modified xsi:type="dcterms:W3CDTF">2026-01-14T14:24:00Z</dcterms:modified>
</cp:coreProperties>
</file>