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etiquetado es toda información sobre un producto, figure en él o le acompañe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Función para el </w:t>
      </w:r>
      <w:r>
        <w:rPr>
          <w:rFonts w:ascii="Cambria" w:hAnsi="Cambria"/>
          <w:b/>
          <w:bCs/>
        </w:rPr>
        <w:t xml:space="preserve">consumidor</w:t>
      </w:r>
      <w:r>
        <w:rPr>
          <w:rFonts w:ascii="Cambria" w:hAnsi="Cambria"/>
        </w:rPr>
        <w:t xml:space="preserve">: conocer la naturaleza y características del producto, incluyendo atributos de confianza no visibles (certificación de calidad, seguridad)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Función para la </w:t>
      </w:r>
      <w:r>
        <w:rPr>
          <w:rFonts w:ascii="Cambria" w:hAnsi="Cambria"/>
          <w:b/>
          <w:bCs/>
        </w:rPr>
        <w:t xml:space="preserve">industria</w:t>
      </w:r>
      <w:r>
        <w:rPr>
          <w:rFonts w:ascii="Cambria" w:hAnsi="Cambria"/>
        </w:rPr>
        <w:t xml:space="preserve">: evita que las diferencias normativas entre Estados Miembros generen obstáculos técnicos al comercio y condiciones de competencia desiguales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marco del </w:t>
      </w:r>
      <w:r>
        <w:rPr>
          <w:rFonts w:ascii="Cambria" w:hAnsi="Cambria"/>
          <w:b/>
          <w:bCs/>
        </w:rPr>
        <w:t xml:space="preserve">Acuerdo OTC de la OMC</w:t>
      </w:r>
      <w:r>
        <w:rPr>
          <w:rFonts w:ascii="Cambria" w:hAnsi="Cambria"/>
        </w:rPr>
        <w:t xml:space="preserve">, el etiquetado es uno de los obstáculos técnicos al comercio más frecuentes, agravado por la proliferación de etiquetados voluntarios sociales o medioambientales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de la exposición: etiquetado alimentario (horizontal y vertical), etiquetado nutricional y etiquetado de productos industriales (general y sectorial)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ETIQUETADO DE LOS PRODUCTOS ALIMENTICIOS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Referencia internacional: </w:t>
      </w:r>
      <w:r>
        <w:rPr>
          <w:rFonts w:ascii="Cambria" w:hAnsi="Cambria"/>
          <w:b/>
          <w:bCs/>
        </w:rPr>
        <w:t xml:space="preserve">Norma General del Codex para el Etiquetado de los Alimentos Preenvasados</w:t>
      </w:r>
      <w:r>
        <w:rPr>
          <w:rFonts w:ascii="Cambria" w:hAnsi="Cambria"/>
        </w:rPr>
        <w:t xml:space="preserve">, que define etiquetado, etiqueta y alimento preenvasado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histórico: </w:t>
      </w:r>
      <w:r>
        <w:rPr>
          <w:rFonts w:ascii="Cambria" w:hAnsi="Cambria"/>
          <w:b/>
          <w:bCs/>
        </w:rPr>
        <w:t xml:space="preserve">Directiva 2000/13/CE</w:t>
      </w:r>
      <w:r>
        <w:rPr>
          <w:rFonts w:ascii="Cambria" w:hAnsi="Cambria"/>
        </w:rPr>
        <w:t xml:space="preserve">, sobre etiquetado, presentación y publicidad de productos alimenticios, transpuesta por el </w:t>
      </w:r>
      <w:r>
        <w:rPr>
          <w:rFonts w:ascii="Cambria" w:hAnsi="Cambria"/>
          <w:b/>
          <w:bCs/>
        </w:rPr>
        <w:t xml:space="preserve">Real Decreto 1334/1999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Ambos quedaron sustituidos por el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sobre información alimentaria facilitada al consumidor, de aplicación directa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El Reglamento (UE) 1169/2011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Entró en vigor el </w:t>
      </w:r>
      <w:r>
        <w:rPr>
          <w:rFonts w:ascii="Cambria" w:hAnsi="Cambria"/>
          <w:b/>
          <w:bCs/>
        </w:rPr>
        <w:t xml:space="preserve">13 de diciembre de 2014</w:t>
      </w:r>
      <w:r>
        <w:rPr>
          <w:rFonts w:ascii="Cambria" w:hAnsi="Cambria"/>
        </w:rPr>
        <w:t xml:space="preserve">, con las disposiciones de información nutricional aplicables desde el </w:t>
      </w:r>
      <w:r>
        <w:rPr>
          <w:rFonts w:ascii="Cambria" w:hAnsi="Cambria"/>
          <w:b/>
          <w:bCs/>
        </w:rPr>
        <w:t xml:space="preserve">13 de diciembre de 2016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Unifica el etiquetado general (antes </w:t>
      </w:r>
      <w:r>
        <w:rPr>
          <w:rFonts w:ascii="Cambria" w:hAnsi="Cambria"/>
          <w:b/>
          <w:bCs/>
        </w:rPr>
        <w:t xml:space="preserve">Directiva 2000/13/CE</w:t>
      </w:r>
      <w:r>
        <w:rPr>
          <w:rFonts w:ascii="Cambria" w:hAnsi="Cambria"/>
        </w:rPr>
        <w:t xml:space="preserve">) y el nutricional (antes </w:t>
      </w:r>
      <w:r>
        <w:rPr>
          <w:rFonts w:ascii="Cambria" w:hAnsi="Cambria"/>
          <w:b/>
          <w:bCs/>
        </w:rPr>
        <w:t xml:space="preserve">Directiva 90/496/CEE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Responsabilidad principal en el operador bajo cuyo nombre se comercializa el alimento, o el importador si no está establecido en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Novedades: alérgenos también en alimentos no envasados (</w:t>
      </w:r>
      <w:r>
        <w:rPr>
          <w:rFonts w:ascii="Cambria" w:hAnsi="Cambria"/>
          <w:b/>
          <w:bCs/>
        </w:rPr>
        <w:t xml:space="preserve">Real Decreto 126/2015</w:t>
      </w:r>
      <w:r>
        <w:rPr>
          <w:rFonts w:ascii="Cambria" w:hAnsi="Cambria"/>
        </w:rPr>
        <w:t xml:space="preserve">), origen de la carne no elaborada, señalización de imitaciones de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 Ejecución (UE) 1337/2013</w:t>
      </w:r>
      <w:r>
        <w:rPr>
          <w:rFonts w:ascii="Cambria" w:hAnsi="Cambria"/>
        </w:rPr>
        <w:t xml:space="preserve">: exige indicar lugar de cría y sacrificio en carne fresca, refrigerada o congelada de porcino, ovino, caprino y aves, desde el </w:t>
      </w:r>
      <w:r>
        <w:rPr>
          <w:rFonts w:ascii="Cambria" w:hAnsi="Cambria"/>
          <w:b/>
          <w:bCs/>
        </w:rPr>
        <w:t xml:space="preserve">1 de abril de 2015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Información alimentaria obligatoria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9</w:t>
      </w:r>
      <w:r>
        <w:rPr>
          <w:rFonts w:ascii="Cambria" w:hAnsi="Cambria"/>
        </w:rPr>
        <w:t xml:space="preserve"> fija las menciones obligatorias: denominación, lista de ingredientes, alérgenos (</w:t>
      </w:r>
      <w:r>
        <w:rPr>
          <w:rFonts w:ascii="Cambria" w:hAnsi="Cambria"/>
          <w:b/>
          <w:bCs/>
        </w:rPr>
        <w:t xml:space="preserve">Anexo II</w:t>
      </w:r>
      <w:r>
        <w:rPr>
          <w:rFonts w:ascii="Cambria" w:hAnsi="Cambria"/>
        </w:rPr>
        <w:t xml:space="preserve">), cuantificación QUID, cantidad neta, fecha de duración o caducidad, condiciones de conservación, datos del operador, origen cuando proceda, modo de empleo, grado alcohólico (bebidas de más de </w:t>
      </w:r>
      <w:r>
        <w:rPr>
          <w:rFonts w:ascii="Cambria" w:hAnsi="Cambria"/>
          <w:b/>
          <w:bCs/>
        </w:rPr>
        <w:t xml:space="preserve">1,2 %</w:t>
      </w:r>
      <w:r>
        <w:rPr>
          <w:rFonts w:ascii="Cambria" w:hAnsi="Cambria"/>
        </w:rPr>
        <w:t xml:space="preserve">) e información nutricional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35</w:t>
      </w:r>
      <w:r>
        <w:rPr>
          <w:rFonts w:ascii="Cambria" w:hAnsi="Cambria"/>
        </w:rPr>
        <w:t xml:space="preserve"> permite completar con pictogramas o símbolos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10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Anexo III</w:t>
      </w:r>
      <w:r>
        <w:rPr>
          <w:rFonts w:ascii="Cambria" w:hAnsi="Cambria"/>
        </w:rPr>
        <w:t xml:space="preserve"> añaden menciones adicionales para determinadas categorías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Presentación y legibilidad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 figurar en el envase o etiqueta adherida (</w:t>
      </w:r>
      <w:r>
        <w:rPr>
          <w:rFonts w:ascii="Cambria" w:hAnsi="Cambria"/>
          <w:b/>
          <w:bCs/>
        </w:rPr>
        <w:t xml:space="preserve">Artículo 12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Tamaño mínimo de letra de </w:t>
      </w:r>
      <w:r>
        <w:rPr>
          <w:rFonts w:ascii="Cambria" w:hAnsi="Cambria"/>
          <w:b/>
          <w:bCs/>
        </w:rPr>
        <w:t xml:space="preserve">1,2 mm</w:t>
      </w:r>
      <w:r>
        <w:rPr>
          <w:rFonts w:ascii="Cambria" w:hAnsi="Cambria"/>
        </w:rPr>
        <w:t xml:space="preserve"> (altura de la "x"), reducido a </w:t>
      </w:r>
      <w:r>
        <w:rPr>
          <w:rFonts w:ascii="Cambria" w:hAnsi="Cambria"/>
          <w:b/>
          <w:bCs/>
        </w:rPr>
        <w:t xml:space="preserve">0,9 mm</w:t>
      </w:r>
      <w:r>
        <w:rPr>
          <w:rFonts w:ascii="Cambria" w:hAnsi="Cambria"/>
        </w:rPr>
        <w:t xml:space="preserve"> si la mayor superficie del envase es inferior a </w:t>
      </w:r>
      <w:r>
        <w:rPr>
          <w:rFonts w:ascii="Cambria" w:hAnsi="Cambria"/>
          <w:b/>
          <w:bCs/>
        </w:rPr>
        <w:t xml:space="preserve">80 cm²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Artículo 13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Denominación, cantidad neta y grado alcohólico deben figurar en el mismo campo visual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Venta a distancia: la información debe estar disponible antes de la compra, salvo la fecha de duración o caducidad (</w:t>
      </w:r>
      <w:r>
        <w:rPr>
          <w:rFonts w:ascii="Cambria" w:hAnsi="Cambria"/>
          <w:b/>
          <w:bCs/>
        </w:rPr>
        <w:t xml:space="preserve">Artículo 14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Idioma: comprensible para el Estado Miembro de comercialización, en España al menos castellano (</w:t>
      </w:r>
      <w:r>
        <w:rPr>
          <w:rFonts w:ascii="Cambria" w:hAnsi="Cambria"/>
          <w:b/>
          <w:bCs/>
        </w:rPr>
        <w:t xml:space="preserve">Artículo 15</w:t>
      </w:r>
      <w:r>
        <w:rPr>
          <w:rFonts w:ascii="Cambria" w:hAnsi="Cambria"/>
        </w:rPr>
        <w:t xml:space="preserve">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Excepciones y particularidades sectoriales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Artículo 16</w:t>
      </w:r>
      <w:r>
        <w:rPr>
          <w:rFonts w:ascii="Cambria" w:hAnsi="Cambria"/>
        </w:rPr>
        <w:t xml:space="preserve">: botellas de vidrio reutilizables marcadas de forma indeleble, con menciones mínimas, y envases pequeños (menos de </w:t>
      </w:r>
      <w:r>
        <w:rPr>
          <w:rFonts w:ascii="Cambria" w:hAnsi="Cambria"/>
          <w:b/>
          <w:bCs/>
        </w:rPr>
        <w:t xml:space="preserve">10 cm²</w:t>
      </w:r>
      <w:r>
        <w:rPr>
          <w:rFonts w:ascii="Cambria" w:hAnsi="Cambria"/>
        </w:rPr>
        <w:t xml:space="preserve">) con menciones reducidas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Información nutricional no obligatoria en los alimentos del </w:t>
      </w:r>
      <w:r>
        <w:rPr>
          <w:rFonts w:ascii="Cambria" w:hAnsi="Cambria"/>
          <w:b/>
          <w:bCs/>
        </w:rPr>
        <w:t xml:space="preserve">Anexo V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Bebidas de más de </w:t>
      </w:r>
      <w:r>
        <w:rPr>
          <w:rFonts w:ascii="Cambria" w:hAnsi="Cambria"/>
          <w:b/>
          <w:bCs/>
        </w:rPr>
        <w:t xml:space="preserve">1,2 %</w:t>
      </w:r>
      <w:r>
        <w:rPr>
          <w:rFonts w:ascii="Cambria" w:hAnsi="Cambria"/>
        </w:rPr>
        <w:t xml:space="preserve"> de alcohol, históricamente exentas de lista de ingredientes e información nutricional. Tras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desde el </w:t>
      </w:r>
      <w:r>
        <w:rPr>
          <w:rFonts w:ascii="Cambria" w:hAnsi="Cambria"/>
          <w:b/>
          <w:bCs/>
        </w:rPr>
        <w:t xml:space="preserve">8 de diciembre de 2023</w:t>
      </w:r>
      <w:r>
        <w:rPr>
          <w:rFonts w:ascii="Cambria" w:hAnsi="Cambria"/>
        </w:rPr>
        <w:t xml:space="preserve"> los vinos y vitivinícolas aromatizados deben facilitarlas, admitiéndose vía digital (QR) salvo valor energético y alérgenos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Reglas específicas por mención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Denominación (</w:t>
      </w:r>
      <w:r>
        <w:rPr>
          <w:rFonts w:ascii="Cambria" w:hAnsi="Cambria"/>
          <w:b/>
          <w:bCs/>
        </w:rPr>
        <w:t xml:space="preserve">Artículo 17</w:t>
      </w:r>
      <w:r>
        <w:rPr>
          <w:rFonts w:ascii="Cambria" w:hAnsi="Cambria"/>
        </w:rPr>
        <w:t xml:space="preserve">): orden de prelación jurídica, habitual o descriptiva. No puede sustituirse por marca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Lista de ingredientes (</w:t>
      </w:r>
      <w:r>
        <w:rPr>
          <w:rFonts w:ascii="Cambria" w:hAnsi="Cambria"/>
          <w:b/>
          <w:bCs/>
        </w:rPr>
        <w:t xml:space="preserve">Artículo 18</w:t>
      </w:r>
      <w:r>
        <w:rPr>
          <w:rFonts w:ascii="Cambria" w:hAnsi="Cambria"/>
        </w:rPr>
        <w:t xml:space="preserve">): orden decreciente de peso, indicando nanomateriales con "nano"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Exenciones (</w:t>
      </w:r>
      <w:r>
        <w:rPr>
          <w:rFonts w:ascii="Cambria" w:hAnsi="Cambria"/>
          <w:b/>
          <w:bCs/>
        </w:rPr>
        <w:t xml:space="preserve">Artículo 19</w:t>
      </w:r>
      <w:r>
        <w:rPr>
          <w:rFonts w:ascii="Cambria" w:hAnsi="Cambria"/>
        </w:rPr>
        <w:t xml:space="preserve">): frutas y hortalizas frescas sin pelar, aguas carbónicas, vinagres de un solo producto básico, alimentos de un ingrediente, queso, mantequilla y leche o nata fermentadas sin añadidos ajenos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Alérgenos (</w:t>
      </w:r>
      <w:r>
        <w:rPr>
          <w:rFonts w:ascii="Cambria" w:hAnsi="Cambria"/>
          <w:b/>
          <w:bCs/>
        </w:rPr>
        <w:t xml:space="preserve">Artículo 21</w:t>
      </w:r>
      <w:r>
        <w:rPr>
          <w:rFonts w:ascii="Cambria" w:hAnsi="Cambria"/>
        </w:rPr>
        <w:t xml:space="preserve">): resaltados tipográficamente o mediante la palabra "contiene"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QUID (</w:t>
      </w:r>
      <w:r>
        <w:rPr>
          <w:rFonts w:ascii="Cambria" w:hAnsi="Cambria"/>
          <w:b/>
          <w:bCs/>
        </w:rPr>
        <w:t xml:space="preserve">Artículo 22</w:t>
      </w:r>
      <w:r>
        <w:rPr>
          <w:rFonts w:ascii="Cambria" w:hAnsi="Cambria"/>
        </w:rPr>
        <w:t xml:space="preserve">): obligatoria si el ingrediente figura en la denominación, se destaca o es esencial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Cantidad neta (</w:t>
      </w:r>
      <w:r>
        <w:rPr>
          <w:rFonts w:ascii="Cambria" w:hAnsi="Cambria"/>
          <w:b/>
          <w:bCs/>
        </w:rPr>
        <w:t xml:space="preserve">Artículo 23</w:t>
      </w:r>
      <w:r>
        <w:rPr>
          <w:rFonts w:ascii="Cambria" w:hAnsi="Cambria"/>
        </w:rPr>
        <w:t xml:space="preserve">): en volumen para líquidos, en masa para el resto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Fecha de duración o caducidad (</w:t>
      </w:r>
      <w:r>
        <w:rPr>
          <w:rFonts w:ascii="Cambria" w:hAnsi="Cambria"/>
          <w:b/>
          <w:bCs/>
        </w:rPr>
        <w:t xml:space="preserve">Artículo 24</w:t>
      </w:r>
      <w:r>
        <w:rPr>
          <w:rFonts w:ascii="Cambria" w:hAnsi="Cambria"/>
        </w:rPr>
        <w:t xml:space="preserve">) y condiciones de conservación tras la apertura (</w:t>
      </w:r>
      <w:r>
        <w:rPr>
          <w:rFonts w:ascii="Cambria" w:hAnsi="Cambria"/>
          <w:b/>
          <w:bCs/>
        </w:rPr>
        <w:t xml:space="preserve">Artículo 25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Origen (</w:t>
      </w:r>
      <w:r>
        <w:rPr>
          <w:rFonts w:ascii="Cambria" w:hAnsi="Cambria"/>
          <w:b/>
          <w:bCs/>
        </w:rPr>
        <w:t xml:space="preserve">Artículo 26</w:t>
      </w:r>
      <w:r>
        <w:rPr>
          <w:rFonts w:ascii="Cambria" w:hAnsi="Cambria"/>
        </w:rPr>
        <w:t xml:space="preserve">): obligatorio si su omisión induce a error. El </w:t>
      </w:r>
      <w:r>
        <w:rPr>
          <w:rFonts w:ascii="Cambria" w:hAnsi="Cambria"/>
          <w:b/>
          <w:bCs/>
        </w:rPr>
        <w:t xml:space="preserve">Reglamento de Ejecución (UE) 2018/775</w:t>
      </w:r>
      <w:r>
        <w:rPr>
          <w:rFonts w:ascii="Cambria" w:hAnsi="Cambria"/>
        </w:rPr>
        <w:t xml:space="preserve">, aplicable desde abril de 2020, exige indicar el origen del ingrediente primario si difiere del origen declarado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específica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609/2013</w:t>
      </w:r>
      <w:r>
        <w:rPr>
          <w:rFonts w:ascii="Cambria" w:hAnsi="Cambria"/>
        </w:rPr>
        <w:t xml:space="preserve">, sobre alimentos para grupos específicos, que sustituye el concepto de alimento dietético por tres categorías: lactantes y niños de corta edad (</w:t>
      </w:r>
      <w:r>
        <w:rPr>
          <w:rFonts w:ascii="Cambria" w:hAnsi="Cambria"/>
          <w:b/>
          <w:bCs/>
        </w:rPr>
        <w:t xml:space="preserve">Reglamento Delegado (UE) 2016/127</w:t>
      </w:r>
      <w:r>
        <w:rPr>
          <w:rFonts w:ascii="Cambria" w:hAnsi="Cambria"/>
        </w:rPr>
        <w:t xml:space="preserve">), usos médicos especiales (</w:t>
      </w:r>
      <w:r>
        <w:rPr>
          <w:rFonts w:ascii="Cambria" w:hAnsi="Cambria"/>
          <w:b/>
          <w:bCs/>
        </w:rPr>
        <w:t xml:space="preserve">Reglamento Delegado (UE) 2016/128</w:t>
      </w:r>
      <w:r>
        <w:rPr>
          <w:rFonts w:ascii="Cambria" w:hAnsi="Cambria"/>
        </w:rPr>
        <w:t xml:space="preserve">) y sustitutivos de dieta completa para control de peso (</w:t>
      </w:r>
      <w:r>
        <w:rPr>
          <w:rFonts w:ascii="Cambria" w:hAnsi="Cambria"/>
          <w:b/>
          <w:bCs/>
        </w:rPr>
        <w:t xml:space="preserve">Reglamento Delegado (UE) 2017/1798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Alimentos sin gluten regulados de forma horizontal por el </w:t>
      </w:r>
      <w:r>
        <w:rPr>
          <w:rFonts w:ascii="Cambria" w:hAnsi="Cambria"/>
          <w:b/>
          <w:bCs/>
        </w:rPr>
        <w:t xml:space="preserve">Reglamento de Ejecución (UE) 828/2014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OMG: </w:t>
      </w:r>
      <w:r>
        <w:rPr>
          <w:rFonts w:ascii="Cambria" w:hAnsi="Cambria"/>
          <w:b/>
          <w:bCs/>
        </w:rPr>
        <w:t xml:space="preserve">Reglamento (CE) 1830/2003</w:t>
      </w:r>
      <w:r>
        <w:rPr>
          <w:rFonts w:ascii="Cambria" w:hAnsi="Cambria"/>
        </w:rPr>
        <w:t xml:space="preserve">, sobre trazabilidad y etiquetado, con umbral de tolerancia del </w:t>
      </w:r>
      <w:r>
        <w:rPr>
          <w:rFonts w:ascii="Cambria" w:hAnsi="Cambria"/>
          <w:b/>
          <w:bCs/>
        </w:rPr>
        <w:t xml:space="preserve">0,9 %</w:t>
      </w:r>
      <w:r>
        <w:rPr>
          <w:rFonts w:ascii="Cambria" w:hAnsi="Cambria"/>
        </w:rPr>
        <w:t xml:space="preserve"> de presencia accidental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Indicación de precios: </w:t>
      </w:r>
      <w:r>
        <w:rPr>
          <w:rFonts w:ascii="Cambria" w:hAnsi="Cambria"/>
          <w:b/>
          <w:bCs/>
        </w:rPr>
        <w:t xml:space="preserve">Directiva 98/6/CE</w:t>
      </w:r>
      <w:r>
        <w:rPr>
          <w:rFonts w:ascii="Cambria" w:hAnsi="Cambria"/>
        </w:rPr>
        <w:t xml:space="preserve">, sobre el precio por unidad de medida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Carne de vacuno: </w:t>
      </w:r>
      <w:r>
        <w:rPr>
          <w:rFonts w:ascii="Cambria" w:hAnsi="Cambria"/>
          <w:b/>
          <w:bCs/>
        </w:rPr>
        <w:t xml:space="preserve">Reglamento (CE) 1760/2000</w:t>
      </w:r>
      <w:r>
        <w:rPr>
          <w:rFonts w:ascii="Cambria" w:hAnsi="Cambria"/>
        </w:rPr>
        <w:t xml:space="preserve">, tras la crisis de la EEB, exige código de referencia y menciones de nacimiento, cría, sacrificio y despiece con país y número de aprobación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Legislación española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es de aplicación directa, dejando obsoleto el </w:t>
      </w:r>
      <w:r>
        <w:rPr>
          <w:rFonts w:ascii="Cambria" w:hAnsi="Cambria"/>
          <w:b/>
          <w:bCs/>
        </w:rPr>
        <w:t xml:space="preserve">Real Decreto 1334/1999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126/2015</w:t>
      </w:r>
      <w:r>
        <w:rPr>
          <w:rFonts w:ascii="Cambria" w:hAnsi="Cambria"/>
        </w:rPr>
        <w:t xml:space="preserve"> aprueba la norma general de información alimentaria para alimentos sin envasar, cubriendo los vacíos delegados a los Estados Miembros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ETIQUETADO NUTRICIONAL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Directrices del Codex Alimentarius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Adoptadas en 1985 y actualizadas periódicamente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información objetiva sobre nutrientes, evitar que sea falsa o engañosa, y evitar declaraciones nutricionales sin información sistemática que las sustente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Legislación en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histórico: </w:t>
      </w:r>
      <w:r>
        <w:rPr>
          <w:rFonts w:ascii="Cambria" w:hAnsi="Cambria"/>
          <w:b/>
          <w:bCs/>
        </w:rPr>
        <w:t xml:space="preserve">Directiva 90/496/CEE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930/1992</w:t>
      </w:r>
      <w:r>
        <w:rPr>
          <w:rFonts w:ascii="Cambria" w:hAnsi="Cambria"/>
        </w:rPr>
        <w:t xml:space="preserve">, con etiquetado nutricional voluntario salvo declaración nutricional o saludable, estructurado en Grupo 1 o Grupo 2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hace obligatoria la información nutricional para la mayoría de alimentos envasados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30</w:t>
      </w:r>
      <w:r>
        <w:rPr>
          <w:rFonts w:ascii="Cambria" w:hAnsi="Cambria"/>
        </w:rPr>
        <w:t xml:space="preserve"> exige valor energético, grasas, ácidos grasos saturados, hidratos de carbono, azúcares, proteínas y sal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Ampliación voluntaria: ácidos grasos mono y poliinsaturados, polialcoholes, almidón, fibra, vitaminas y minerales en cantidades significativas (</w:t>
      </w:r>
      <w:r>
        <w:rPr>
          <w:rFonts w:ascii="Cambria" w:hAnsi="Cambria"/>
          <w:b/>
          <w:bCs/>
        </w:rPr>
        <w:t xml:space="preserve">Anexo XIII</w:t>
      </w:r>
      <w:r>
        <w:rPr>
          <w:rFonts w:ascii="Cambria" w:hAnsi="Cambria"/>
        </w:rPr>
        <w:t xml:space="preserve">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Expresión y presentación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Base de cálculo por </w:t>
      </w:r>
      <w:r>
        <w:rPr>
          <w:rFonts w:ascii="Cambria" w:hAnsi="Cambria"/>
          <w:b/>
          <w:bCs/>
        </w:rPr>
        <w:t xml:space="preserve">100 g o 100 ml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Artículo 32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Ingestas de referencia de vitaminas y minerales, con la mención del adulto medio (</w:t>
      </w:r>
      <w:r>
        <w:rPr>
          <w:rFonts w:ascii="Cambria" w:hAnsi="Cambria"/>
          <w:b/>
          <w:bCs/>
        </w:rPr>
        <w:t xml:space="preserve">8400 kJ / 2000 kcal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Expresión adicional por porción, siempre cuantificada (</w:t>
      </w:r>
      <w:r>
        <w:rPr>
          <w:rFonts w:ascii="Cambria" w:hAnsi="Cambria"/>
          <w:b/>
          <w:bCs/>
        </w:rPr>
        <w:t xml:space="preserve">Artículo 33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Formato de tabla en el mismo campo visual, o lineal si no hay espacio (</w:t>
      </w:r>
      <w:r>
        <w:rPr>
          <w:rFonts w:ascii="Cambria" w:hAnsi="Cambria"/>
          <w:b/>
          <w:bCs/>
        </w:rPr>
        <w:t xml:space="preserve">Artículo 34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Formas adicionales gráficas en el frontal del envase (FOPL), como el </w:t>
      </w:r>
      <w:r>
        <w:rPr>
          <w:rFonts w:ascii="Cambria" w:hAnsi="Cambria"/>
          <w:b/>
          <w:bCs/>
        </w:rPr>
        <w:t xml:space="preserve">Nutri-Score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Artículo 35</w:t>
      </w:r>
      <w:r>
        <w:rPr>
          <w:rFonts w:ascii="Cambria" w:hAnsi="Cambria"/>
        </w:rPr>
        <w:t xml:space="preserve">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Información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los </w:t>
      </w:r>
      <w:r>
        <w:rPr>
          <w:rFonts w:ascii="Cambria" w:hAnsi="Cambria"/>
          <w:b/>
          <w:bCs/>
        </w:rPr>
        <w:t xml:space="preserve">Artículos 36 y 37</w:t>
      </w:r>
      <w:r>
        <w:rPr>
          <w:rFonts w:ascii="Cambria" w:hAnsi="Cambria"/>
        </w:rPr>
        <w:t xml:space="preserve">: no debe inducir a error, ser ambigua, ni ocupar el espacio de la información obligatoria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Medidas nacionales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38</w:t>
      </w:r>
      <w:r>
        <w:rPr>
          <w:rFonts w:ascii="Cambria" w:hAnsi="Cambria"/>
        </w:rPr>
        <w:t xml:space="preserve"> prohíbe legislar por cuenta propia sobre materias armonizadas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44</w:t>
      </w:r>
      <w:r>
        <w:rPr>
          <w:rFonts w:ascii="Cambria" w:hAnsi="Cambria"/>
        </w:rPr>
        <w:t xml:space="preserve"> reserva competencia nacional para alimentos sin envasar, exigiendo a nivel UE solo la declaración de alérgenos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 regula esta materia el </w:t>
      </w:r>
      <w:r>
        <w:rPr>
          <w:rFonts w:ascii="Cambria" w:hAnsi="Cambria"/>
          <w:b/>
          <w:bCs/>
        </w:rPr>
        <w:t xml:space="preserve">Real Decreto 126/2015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EL ETIQUETADO DE LOS PRODUCTOS INDUSTRIALES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 industrial: bien duradero o fungible resultado de un proceso industrial destinado a la venta al consumidor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Excluidos: cosméticos, productos sanitarios, farmacéuticos, alimenticios, artesanos, obras de arte y antigüedades, con normativa propia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 incorporarse mediante etiqueta unida de forma fija al envase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horizontal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reglamento de etiquetado, presentación y publicidad de productos industriales, en consonancia con el </w:t>
      </w: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sobre seguridad general de los productos (RSGP)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6</w:t>
      </w:r>
      <w:r>
        <w:rPr>
          <w:rFonts w:ascii="Cambria" w:hAnsi="Cambria"/>
        </w:rPr>
        <w:t xml:space="preserve"> exige información eficaz, veraz y suficiente, sin inducir a error, sin omitir datos y con advertencia de riesgos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7</w:t>
      </w:r>
      <w:r>
        <w:rPr>
          <w:rFonts w:ascii="Cambria" w:hAnsi="Cambria"/>
        </w:rPr>
        <w:t xml:space="preserve"> fija los datos mínimos: denominación, composición cuando afecte a la aptitud de uso, plazo de uso, contenido neto, características esenciales, lote de fabricación, identificación del responsable, país de origen y especificaciones energéticas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Idioma al menos castellano, con posibilidad de folleto adjunto si hay limitación de espacio (</w:t>
      </w:r>
      <w:r>
        <w:rPr>
          <w:rFonts w:ascii="Cambria" w:hAnsi="Cambria"/>
          <w:b/>
          <w:bCs/>
        </w:rPr>
        <w:t xml:space="preserve">Artículos 8 y 9</w:t>
      </w:r>
      <w:r>
        <w:rPr>
          <w:rFonts w:ascii="Cambria" w:hAnsi="Cambria"/>
        </w:rPr>
        <w:t xml:space="preserve">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específica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sujetos a la legislación de armonización (Nuevo Enfoque) deben incorporar el </w:t>
      </w:r>
      <w:r>
        <w:rPr>
          <w:rFonts w:ascii="Cambria" w:hAnsi="Cambria"/>
          <w:b/>
          <w:bCs/>
        </w:rPr>
        <w:t xml:space="preserve">marcado CE</w:t>
      </w:r>
      <w:r>
        <w:rPr>
          <w:rFonts w:ascii="Cambria" w:hAnsi="Cambria"/>
        </w:rPr>
        <w:t xml:space="preserve">, declaración del fabricante de conformidad con los requisitos comunitarios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 colocarse de forma visible, legible e indeleble antes de la comercialización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Calzado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94/11/CE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1718/1995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Identificación del fabricante o importador y composición de empeine, forro y plantilla, y suela, mediante pictogramas o texto en castellano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 del </w:t>
      </w:r>
      <w:r>
        <w:rPr>
          <w:rFonts w:ascii="Cambria" w:hAnsi="Cambria"/>
          <w:b/>
          <w:bCs/>
        </w:rPr>
        <w:t xml:space="preserve">80 %</w:t>
      </w:r>
      <w:r>
        <w:rPr>
          <w:rFonts w:ascii="Cambria" w:hAnsi="Cambria"/>
        </w:rPr>
        <w:t xml:space="preserve">: el material indicado debe representar al menos ese porcentaje de la superficie o volumen correspondiente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calzado de moda común no lleva marcado CE, y basta con etiquetar un solo zapato del par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Textiles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1007/2011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928/1987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Indicación de fibras por orden decreciente de peso e identificación del operador de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prendas de confección y de punto, etiqueta cosida o fijada de forma permanente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Partes diferenciadas se detallan si representan al menos el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del peso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 de conservación coordinado por el </w:t>
      </w:r>
      <w:r>
        <w:rPr>
          <w:rFonts w:ascii="Cambria" w:hAnsi="Cambria"/>
          <w:b/>
          <w:bCs/>
        </w:rPr>
        <w:t xml:space="preserve">Consejo Intertextil Español</w:t>
      </w:r>
      <w:r>
        <w:rPr>
          <w:rFonts w:ascii="Cambria" w:hAnsi="Cambria"/>
        </w:rPr>
        <w:t xml:space="preserve">, voluntario pero sancionable si induce a confusión. No lleva marcado CE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Material eléctrico de baja tensión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Tensión nominal entre </w:t>
      </w:r>
      <w:r>
        <w:rPr>
          <w:rFonts w:ascii="Cambria" w:hAnsi="Cambria"/>
          <w:b/>
          <w:bCs/>
        </w:rPr>
        <w:t xml:space="preserve">50 y 1000 V</w:t>
      </w:r>
      <w:r>
        <w:rPr>
          <w:rFonts w:ascii="Cambria" w:hAnsi="Cambria"/>
        </w:rPr>
        <w:t xml:space="preserve"> en corriente alterna y entre </w:t>
      </w:r>
      <w:r>
        <w:rPr>
          <w:rFonts w:ascii="Cambria" w:hAnsi="Cambria"/>
          <w:b/>
          <w:bCs/>
        </w:rPr>
        <w:t xml:space="preserve">75 y 1500 V</w:t>
      </w:r>
      <w:r>
        <w:rPr>
          <w:rFonts w:ascii="Cambria" w:hAnsi="Cambria"/>
        </w:rPr>
        <w:t xml:space="preserve"> en corriente continua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2014/35/UE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187/2016</w:t>
      </w:r>
      <w:r>
        <w:rPr>
          <w:rFonts w:ascii="Cambria" w:hAnsi="Cambria"/>
        </w:rPr>
        <w:t xml:space="preserve">, exige marcado 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Declaración UE de conformidad en castellano, identificando aparato, signatario, lote y normas armonizadas aplicadas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Juguetes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 destinado a niños menores de </w:t>
      </w:r>
      <w:r>
        <w:rPr>
          <w:rFonts w:ascii="Cambria" w:hAnsi="Cambria"/>
          <w:b/>
          <w:bCs/>
        </w:rPr>
        <w:t xml:space="preserve">14 años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2009/48/CE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1205/2011</w:t>
      </w:r>
      <w:r>
        <w:rPr>
          <w:rFonts w:ascii="Cambria" w:hAnsi="Cambria"/>
        </w:rPr>
        <w:t xml:space="preserve">, con marcado CE obligatorio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proceso de sustitución por el </w:t>
      </w: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, que refuerza exigencias frente a alérgenos, disruptores endocrinos y ciberseguridad, e introduce el Pasaporte Digital de Producto vinculado a un código QR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Muebles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Sin normativa sectorial específica, se rigen por el </w:t>
      </w: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(UE) 2023/988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puericultura (cunas, cambiadores, tronas, literas), exige mención de cumplimiento de la norma </w:t>
      </w:r>
      <w:r>
        <w:rPr>
          <w:rFonts w:ascii="Cambria" w:hAnsi="Cambria"/>
          <w:b/>
          <w:bCs/>
        </w:rPr>
        <w:t xml:space="preserve">UNE-EN</w:t>
      </w:r>
      <w:r>
        <w:rPr>
          <w:rFonts w:ascii="Cambria" w:hAnsi="Cambria"/>
        </w:rPr>
        <w:t xml:space="preserve"> aplicable y advertencias de riesgo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llevan marcado CE, salvo mecanismos motorizados regulados por la Directiva de Máquinas o de Baja Tensión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Equipos de protección individual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2016/425</w:t>
      </w:r>
      <w:r>
        <w:rPr>
          <w:rFonts w:ascii="Cambria" w:hAnsi="Cambria"/>
        </w:rPr>
        <w:t xml:space="preserve">, con tres categorías (I, II y III) según la gravedad del riesgo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Marcado CE obligatorio e inseparable, con número de organismo notificado en la categoría III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 indicar datos del fabricante, modelo, talla, año de fabricación, pictograma de riesgo y norma técnica armonizada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etiquetado concilia el derecho del consumidor a la información, el interés de la industria en reglas comunes de competencia y la necesidad de un instrumento de referencia para las autoridades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unificó el etiquetado general y el nutricional en un solo texto de aplicación directa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productos industriales conviven la normativa general informativa (</w:t>
      </w: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) y las normas sectoriales del Nuevo Enfoque, que añaden la exigencia del marcado CE, como ilustra la sustitución de la normativa de juguetes por el </w:t>
      </w:r>
      <w:r>
        <w:rPr>
          <w:rFonts w:ascii="Cambria" w:hAnsi="Cambria"/>
          <w:b/>
          <w:bCs/>
        </w:rPr>
        <w:t xml:space="preserve">Reglamento (UE) 2025/2509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el SOIVRE, el etiquetado es el primer elemento que se examina en la práctica totalidad de los actos de inspección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49 – Etiquetado de productos alimenticios e industriales. Legislación de la UE y nacional sobre etiquetado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