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los alimentos pueden aparecer tres tipos de sustancias con riesgo para la salud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Sustancias con fines tecnológicos en origen</w:t>
      </w:r>
      <w:r>
        <w:rPr>
          <w:rFonts w:ascii="Cambria" w:hAnsi="Cambria"/>
        </w:rPr>
        <w:t xml:space="preserve">: residuos de plaguicidas, medicamentos veterinarios, disolventes de extracción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Contaminantes naturales y ambientales</w:t>
      </w:r>
      <w:r>
        <w:rPr>
          <w:rFonts w:ascii="Cambria" w:hAnsi="Cambria"/>
        </w:rPr>
        <w:t xml:space="preserve">: metales pesados y toxinas biológicas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Aditivos alimentarios</w:t>
      </w:r>
      <w:r>
        <w:rPr>
          <w:rFonts w:ascii="Cambria" w:hAnsi="Cambria"/>
        </w:rPr>
        <w:t xml:space="preserve">: añadidos voluntariamente con fin tecnológico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riesgo depende de la absorción, la toxicidad, el nivel de contaminación, la cantidad consumida y el tiempo de exposición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legislación de la UE busca el alto nivel de protección de los consumidores exigido por el </w:t>
      </w:r>
      <w:r>
        <w:rPr>
          <w:rFonts w:ascii="Cambria" w:hAnsi="Cambria"/>
          <w:b/>
          <w:bCs/>
        </w:rPr>
        <w:t xml:space="preserve">artículo 168 del TFUE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Acuerdo MSF de la OMC</w:t>
      </w:r>
      <w:r>
        <w:rPr>
          <w:rFonts w:ascii="Cambria" w:hAnsi="Cambria"/>
        </w:rPr>
        <w:t xml:space="preserve"> reconoce el derecho de los Miembros a adoptar medidas basadas en fundamentos científicos y no discriminatorias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Organismos de evaluación del riesgo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EFSA</w:t>
      </w:r>
      <w:r>
        <w:rPr>
          <w:rFonts w:ascii="Cambria" w:hAnsi="Cambria"/>
        </w:rPr>
        <w:t xml:space="preserve">, creada por el </w:t>
      </w:r>
      <w:r>
        <w:rPr>
          <w:rFonts w:ascii="Cambria" w:hAnsi="Cambria"/>
          <w:b/>
          <w:bCs/>
        </w:rPr>
        <w:t xml:space="preserve">Reglamento (CE) 178/2002</w:t>
      </w:r>
      <w:r>
        <w:rPr>
          <w:rFonts w:ascii="Cambria" w:hAnsi="Cambria"/>
        </w:rPr>
        <w:t xml:space="preserve">, evalúa riesgos para la Comisión Europea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AESAN</w:t>
      </w:r>
      <w:r>
        <w:rPr>
          <w:rFonts w:ascii="Cambria" w:hAnsi="Cambria"/>
        </w:rPr>
        <w:t xml:space="preserve">, Organismo Autónomo adscrito al Ministerio de Derechos Sociales, Consumo y Agenda 2030 y vinculado funcionalmente a Sanidad y a Agricultura, Pesca y Alimentación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Codex Alimentarius: </w:t>
      </w:r>
      <w:r>
        <w:rPr>
          <w:rFonts w:ascii="Cambria" w:hAnsi="Cambria"/>
          <w:b/>
          <w:bCs/>
        </w:rPr>
        <w:t xml:space="preserve">CCFA</w:t>
      </w:r>
      <w:r>
        <w:rPr>
          <w:rFonts w:ascii="Cambria" w:hAnsi="Cambria"/>
        </w:rPr>
        <w:t xml:space="preserve"> (aditivos), </w:t>
      </w:r>
      <w:r>
        <w:rPr>
          <w:rFonts w:ascii="Cambria" w:hAnsi="Cambria"/>
          <w:b/>
          <w:bCs/>
        </w:rPr>
        <w:t xml:space="preserve">CCPR</w:t>
      </w:r>
      <w:r>
        <w:rPr>
          <w:rFonts w:ascii="Cambria" w:hAnsi="Cambria"/>
        </w:rPr>
        <w:t xml:space="preserve"> (plaguicidas) y </w:t>
      </w:r>
      <w:r>
        <w:rPr>
          <w:rFonts w:ascii="Cambria" w:hAnsi="Cambria"/>
          <w:b/>
          <w:bCs/>
        </w:rPr>
        <w:t xml:space="preserve">CCCF</w:t>
      </w:r>
      <w:r>
        <w:rPr>
          <w:rFonts w:ascii="Cambria" w:hAnsi="Cambria"/>
        </w:rPr>
        <w:t xml:space="preserve"> (contaminantes)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ADITIVOS ALIMENTARIOS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Definición legal armonizada en el </w:t>
      </w:r>
      <w:r>
        <w:rPr>
          <w:rFonts w:ascii="Cambria" w:hAnsi="Cambria"/>
          <w:b/>
          <w:bCs/>
        </w:rPr>
        <w:t xml:space="preserve">Reglamento (CE) 1333/2008</w:t>
      </w:r>
      <w:r>
        <w:rPr>
          <w:rFonts w:ascii="Cambria" w:hAnsi="Cambria"/>
        </w:rPr>
        <w:t xml:space="preserve">: sustancia no consumida como alimento en sí ni usada como ingrediente característico, añadida intencionadamente con fin tecnológico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Principios generales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Inocuidad</w:t>
      </w:r>
      <w:r>
        <w:rPr>
          <w:rFonts w:ascii="Cambria" w:hAnsi="Cambria"/>
        </w:rPr>
        <w:t xml:space="preserve">: sin peligro para la salud en las dosis propuestas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Necesidad tecnológica</w:t>
      </w:r>
      <w:r>
        <w:rPr>
          <w:rFonts w:ascii="Cambria" w:hAnsi="Cambria"/>
        </w:rPr>
        <w:t xml:space="preserve">: respuesta a una necesidad que no pueda lograrse por otros medios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No inducir a error</w:t>
      </w:r>
      <w:r>
        <w:rPr>
          <w:rFonts w:ascii="Cambria" w:hAnsi="Cambria"/>
        </w:rPr>
        <w:t xml:space="preserve">: no camuflar materias primas defectuosas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UE reconoce </w:t>
      </w:r>
      <w:r>
        <w:rPr>
          <w:rFonts w:ascii="Cambria" w:hAnsi="Cambria"/>
          <w:b/>
          <w:bCs/>
        </w:rPr>
        <w:t xml:space="preserve">27 clases funcionales</w:t>
      </w:r>
      <w:r>
        <w:rPr>
          <w:rFonts w:ascii="Cambria" w:hAnsi="Cambria"/>
        </w:rPr>
        <w:t xml:space="preserve">, agrupadas en dos bloques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Bloque I</w:t>
      </w:r>
      <w:r>
        <w:rPr>
          <w:rFonts w:ascii="Cambria" w:hAnsi="Cambria"/>
        </w:rPr>
        <w:t xml:space="preserve"> (cualidades sensoriales y textura): colorantes, edulcorantes (de carga o polioles, e intensos), potenciadores del sabor, modificadores de textura (emulsionantes, estabilizantes, espesantes, gelificantes), correctores de acidez y antiaglomerantes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Bloque II</w:t>
      </w:r>
      <w:r>
        <w:rPr>
          <w:rFonts w:ascii="Cambria" w:hAnsi="Cambria"/>
        </w:rPr>
        <w:t xml:space="preserve"> (estabilidad y conservación): antioxidantes y conservantes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Marco legislativo de los aditivos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Superadas las antiguas Directivas (</w:t>
      </w:r>
      <w:r>
        <w:rPr>
          <w:rFonts w:ascii="Cambria" w:hAnsi="Cambria"/>
          <w:b/>
          <w:bCs/>
        </w:rPr>
        <w:t xml:space="preserve">Directiva Marco 89/107/CEE</w:t>
      </w:r>
      <w:r>
        <w:rPr>
          <w:rFonts w:ascii="Cambria" w:hAnsi="Cambria"/>
        </w:rPr>
        <w:t xml:space="preserve"> y las específicas de edulcorantes, colorantes y otros aditivos) por Reglamentos de aplicación directa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1331/2008</w:t>
      </w:r>
      <w:r>
        <w:rPr>
          <w:rFonts w:ascii="Cambria" w:hAnsi="Cambria"/>
        </w:rPr>
        <w:t xml:space="preserve">: procedimiento común de autorización de aditivos, enzimas y aromas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1333/2008</w:t>
      </w:r>
      <w:r>
        <w:rPr>
          <w:rFonts w:ascii="Cambria" w:hAnsi="Cambria"/>
        </w:rPr>
        <w:t xml:space="preserve">: pilar de la materia, con listas positivas por categorías de alimentos (Anexo II)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231/2012</w:t>
      </w:r>
      <w:r>
        <w:rPr>
          <w:rFonts w:ascii="Cambria" w:hAnsi="Cambria"/>
        </w:rPr>
        <w:t xml:space="preserve">: criterios de pureza de los aditivos autorizados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Principio de listas positivas: lo no autorizado expresamente queda prohibido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Codificación oficial con la letra </w:t>
      </w:r>
      <w:r>
        <w:rPr>
          <w:rFonts w:ascii="Cambria" w:hAnsi="Cambria"/>
          <w:b/>
          <w:bCs/>
        </w:rPr>
        <w:t xml:space="preserve">E</w:t>
      </w:r>
      <w:r>
        <w:rPr>
          <w:rFonts w:ascii="Cambria" w:hAnsi="Cambria"/>
        </w:rPr>
        <w:t xml:space="preserve"> más un número de tres o cuatro cifras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Cuando no hay límite numérico, se aplica el principio </w:t>
      </w:r>
      <w:r>
        <w:rPr>
          <w:rFonts w:ascii="Cambria" w:hAnsi="Cambria"/>
          <w:b/>
          <w:bCs/>
        </w:rPr>
        <w:t xml:space="preserve">Quantum Satis</w:t>
      </w:r>
      <w:r>
        <w:rPr>
          <w:rFonts w:ascii="Cambria" w:hAnsi="Cambria"/>
        </w:rPr>
        <w:t xml:space="preserve"> conforme a las buenas prácticas de fabricación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EFSA fija la </w:t>
      </w:r>
      <w:r>
        <w:rPr>
          <w:rFonts w:ascii="Cambria" w:hAnsi="Cambria"/>
          <w:b/>
          <w:bCs/>
        </w:rPr>
        <w:t xml:space="preserve">Ingesta Diaria Admisible (IDA)</w:t>
      </w:r>
      <w:r>
        <w:rPr>
          <w:rFonts w:ascii="Cambria" w:hAnsi="Cambria"/>
        </w:rPr>
        <w:t xml:space="preserve">, en mg/kg de peso corporal/día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JECFA</w:t>
      </w:r>
      <w:r>
        <w:rPr>
          <w:rFonts w:ascii="Cambria" w:hAnsi="Cambria"/>
        </w:rPr>
        <w:t xml:space="preserve"> (FAO/OMS) elabora especificaciones de identidad y pureza de referencia para el Codex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Control e identificación analítica de aditivos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Colorantes</w:t>
      </w:r>
      <w:r>
        <w:rPr>
          <w:rFonts w:ascii="Cambria" w:hAnsi="Cambria"/>
        </w:rPr>
        <w:t xml:space="preserve">: cromatografía (capa fina o HPLC) y cuantificación por espectrofotometría UV-Visible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Edulcorantes</w:t>
      </w:r>
      <w:r>
        <w:rPr>
          <w:rFonts w:ascii="Cambria" w:hAnsi="Cambria"/>
        </w:rPr>
        <w:t xml:space="preserve">: HPLC o cromatografía de gases según volatilidad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Nitritos y nitratos</w:t>
      </w:r>
      <w:r>
        <w:rPr>
          <w:rFonts w:ascii="Cambria" w:hAnsi="Cambria"/>
        </w:rPr>
        <w:t xml:space="preserve">: reacción de Griess (colorimétrica) para nitritos, con reducción previa mediante columna de cadmio para los nitratos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Antioxidantes</w:t>
      </w:r>
      <w:r>
        <w:rPr>
          <w:rFonts w:ascii="Cambria" w:hAnsi="Cambria"/>
        </w:rPr>
        <w:t xml:space="preserve">: HPLC o cromatografía de gases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Acidulantes</w:t>
      </w:r>
      <w:r>
        <w:rPr>
          <w:rFonts w:ascii="Cambria" w:hAnsi="Cambria"/>
        </w:rPr>
        <w:t xml:space="preserve">: potenciometría para el valor global y HPLC o cromatografía iónica para ácidos orgánicos individuales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CONTAMINANTES Y OTRAS SUSTANCIAS EN LA ALIMENTACIÓN HUMANA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Residuos de plaguicidas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Sustancia destinada a eliminar plagas, incluye reguladores de crecimiento, defoliantes, desecantes y sustancias postcosecha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Distinción entre </w:t>
      </w:r>
      <w:r>
        <w:rPr>
          <w:rFonts w:ascii="Cambria" w:hAnsi="Cambria"/>
          <w:b/>
          <w:bCs/>
        </w:rPr>
        <w:t xml:space="preserve">productos fitosanitarios</w:t>
      </w:r>
      <w:r>
        <w:rPr>
          <w:rFonts w:ascii="Cambria" w:hAnsi="Cambria"/>
        </w:rPr>
        <w:t xml:space="preserve"> (uso agrícola) y </w:t>
      </w:r>
      <w:r>
        <w:rPr>
          <w:rFonts w:ascii="Cambria" w:hAnsi="Cambria"/>
          <w:b/>
          <w:bCs/>
        </w:rPr>
        <w:t xml:space="preserve">biocidas</w:t>
      </w:r>
      <w:r>
        <w:rPr>
          <w:rFonts w:ascii="Cambria" w:hAnsi="Cambria"/>
        </w:rPr>
        <w:t xml:space="preserve"> (fuera del ámbito agrícola)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396/2005</w:t>
      </w:r>
      <w:r>
        <w:rPr>
          <w:rFonts w:ascii="Cambria" w:hAnsi="Cambria"/>
        </w:rPr>
        <w:t xml:space="preserve">: límites máximos de residuos (LMR), con límite general por defecto de </w:t>
      </w:r>
      <w:r>
        <w:rPr>
          <w:rFonts w:ascii="Cambria" w:hAnsi="Cambria"/>
          <w:b/>
          <w:bCs/>
        </w:rPr>
        <w:t xml:space="preserve">0,01 mg/kg</w:t>
      </w:r>
      <w:r>
        <w:rPr>
          <w:rFonts w:ascii="Cambria" w:hAnsi="Cambria"/>
        </w:rPr>
        <w:t xml:space="preserve"> cuando no existe valor específico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1107/2009</w:t>
      </w:r>
      <w:r>
        <w:rPr>
          <w:rFonts w:ascii="Cambria" w:hAnsi="Cambria"/>
        </w:rPr>
        <w:t xml:space="preserve">: comercialización de productos fitosanitarios, con lista positiva de sustancias activas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UE se divide en tres zonas (norte, centro y sur) con reconocimiento mutuo obligatorio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Planes de Acción Nacionales prohíben con carácter general la pulverización aérea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España, control ejecutado por los laboratorios SOIVRE, coordinados por la Subdirección General de Inspección, Certificación y Asistencia Técnica del Comercio Exterior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Técnicas: </w:t>
      </w:r>
      <w:r>
        <w:rPr>
          <w:rFonts w:ascii="Cambria" w:hAnsi="Cambria"/>
          <w:b/>
          <w:bCs/>
        </w:rPr>
        <w:t xml:space="preserve">GC-MS/MS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LC-MS/MS</w:t>
      </w:r>
      <w:r>
        <w:rPr>
          <w:rFonts w:ascii="Cambria" w:hAnsi="Cambria"/>
        </w:rPr>
        <w:t xml:space="preserve"> (idónea para plaguicidas termolábiles)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Residuos de medicamentos veterinarios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Incluyen sustancias farmacológicamente activas, excipientes y metabolitos presentes en alimentos de origen animal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EMA</w:t>
      </w:r>
      <w:r>
        <w:rPr>
          <w:rFonts w:ascii="Cambria" w:hAnsi="Cambria"/>
        </w:rPr>
        <w:t xml:space="preserve">, a través de su Comité de Medicamentos de Uso Veterinario (CVMP), evalúa la seguridad y tramita los LMR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470/2009</w:t>
      </w:r>
      <w:r>
        <w:rPr>
          <w:rFonts w:ascii="Cambria" w:hAnsi="Cambria"/>
        </w:rPr>
        <w:t xml:space="preserve">: procedimientos para fijar LMR, con dos pilares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Protección de la salud pública mediante IDA y LMR, o prohibición si no hay margen seguro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Disponibilidad de medicamentos, con extrapolación de LMR entre especies y adopción de LMR del Codex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37/2010</w:t>
      </w:r>
      <w:r>
        <w:rPr>
          <w:rFonts w:ascii="Cambria" w:hAnsi="Cambria"/>
        </w:rPr>
        <w:t xml:space="preserve">: lista positiva de sustancias permitidas con sus LMR y lista de sustancias prohibidas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Introducción del </w:t>
      </w:r>
      <w:r>
        <w:rPr>
          <w:rFonts w:ascii="Cambria" w:hAnsi="Cambria"/>
          <w:b/>
          <w:bCs/>
        </w:rPr>
        <w:t xml:space="preserve">valor de referencia a efectos de intervención (VRE)</w:t>
      </w:r>
      <w:r>
        <w:rPr>
          <w:rFonts w:ascii="Cambria" w:hAnsi="Cambria"/>
        </w:rPr>
        <w:t xml:space="preserve">, que sustituye a los antiguos MRPL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Prohibición absoluta de sustancias de alta toxicidad: Aristolochia spp., cloranfenicol, cloroformo, clorpromacina, colchicina, dapsona, nitroimidazoles (metronidazol, dimetridazol, ronidazol) y nitrofuranos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2017/625</w:t>
      </w:r>
      <w:r>
        <w:rPr>
          <w:rFonts w:ascii="Cambria" w:hAnsi="Cambria"/>
        </w:rPr>
        <w:t xml:space="preserve">: controles oficiales, clasifica sustancias en el Plan Nacional de Investigación de Residuos (PNIR)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96/22/CE</w:t>
      </w:r>
      <w:r>
        <w:rPr>
          <w:rFonts w:ascii="Cambria" w:hAnsi="Cambria"/>
        </w:rPr>
        <w:t xml:space="preserve">: prohíbe sustancias hormonales, tireostáticas y betaagonistas con fines de engorde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Residuos de disolventes de extracción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Sustancia empleada en la extracción que puede dejar residuos involuntarios en el producto final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Armonización con la </w:t>
      </w:r>
      <w:r>
        <w:rPr>
          <w:rFonts w:ascii="Cambria" w:hAnsi="Cambria"/>
          <w:b/>
          <w:bCs/>
        </w:rPr>
        <w:t xml:space="preserve">Directiva 2009/32/CE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España, </w:t>
      </w:r>
      <w:r>
        <w:rPr>
          <w:rFonts w:ascii="Cambria" w:hAnsi="Cambria"/>
          <w:b/>
          <w:bCs/>
        </w:rPr>
        <w:t xml:space="preserve">Real Decreto 1101/2011</w:t>
      </w:r>
      <w:r>
        <w:rPr>
          <w:rFonts w:ascii="Cambria" w:hAnsi="Cambria"/>
        </w:rPr>
        <w:t xml:space="preserve">, lista positiva de disolventes autorizados, actualizada recientemente por la </w:t>
      </w:r>
      <w:r>
        <w:rPr>
          <w:rFonts w:ascii="Cambria" w:hAnsi="Cambria"/>
          <w:b/>
          <w:bCs/>
        </w:rPr>
        <w:t xml:space="preserve">Orden CSM/882/2023</w:t>
      </w:r>
      <w:r>
        <w:rPr>
          <w:rFonts w:ascii="Cambria" w:hAnsi="Cambria"/>
        </w:rPr>
        <w:t xml:space="preserve">, que añadió el 2-metiloxolano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Clasificación en tres partes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Parte I</w:t>
      </w:r>
      <w:r>
        <w:rPr>
          <w:rFonts w:ascii="Cambria" w:hAnsi="Cambria"/>
        </w:rPr>
        <w:t xml:space="preserve">: uso en todas las condiciones BPF, residuos inevitables pero inocuos (propano, butano, acetato de etilo, etanol, dióxido de carbono)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Parte II</w:t>
      </w:r>
      <w:r>
        <w:rPr>
          <w:rFonts w:ascii="Cambria" w:hAnsi="Cambria"/>
        </w:rPr>
        <w:t xml:space="preserve">: condiciones específicas y límites estrictos (hexano, en reevaluación por la EFSA desde 2024)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Parte III</w:t>
      </w:r>
      <w:r>
        <w:rPr>
          <w:rFonts w:ascii="Cambria" w:hAnsi="Cambria"/>
        </w:rPr>
        <w:t xml:space="preserve">: exclusivos para la preparación de aromas (éter dietílico)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aceite de oliva virgen debe obtenerse solo por procedimientos mecánicos o físicos: la presencia de disolventes denota fraude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aceite de orujo de oliva tiene límites estrictos para disolventes halogenados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Contaminantes naturales: metales pesados y toxinas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Marco unificado en el </w:t>
      </w:r>
      <w:r>
        <w:rPr>
          <w:rFonts w:ascii="Cambria" w:hAnsi="Cambria"/>
          <w:b/>
          <w:bCs/>
        </w:rPr>
        <w:t xml:space="preserve">Reglamento (UE) 2023/915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complementa con el </w:t>
      </w:r>
      <w:r>
        <w:rPr>
          <w:rFonts w:ascii="Cambria" w:hAnsi="Cambria"/>
          <w:b/>
          <w:bCs/>
        </w:rPr>
        <w:t xml:space="preserve">Reglamento (CEE) 315/93</w:t>
      </w:r>
      <w:r>
        <w:rPr>
          <w:rFonts w:ascii="Cambria" w:hAnsi="Cambria"/>
        </w:rPr>
        <w:t xml:space="preserve">, procedimientos comunitarios y cláusulas de salvaguardia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Nitratos</w:t>
      </w:r>
      <w:r>
        <w:rPr>
          <w:rFonts w:ascii="Cambria" w:hAnsi="Cambria"/>
        </w:rPr>
        <w:t xml:space="preserve">: de origen agrario, se acumulan en hortalizas de hoja verde, se reducen a nitritos y generan metahemoglobinemia y N-nitrosaminas carcinógenas. Determinación por cromatografía iónica o espectrofotometría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Micotoxinas</w:t>
      </w:r>
      <w:r>
        <w:rPr>
          <w:rFonts w:ascii="Cambria" w:hAnsi="Cambria"/>
        </w:rPr>
        <w:t xml:space="preserve">: metabolitos de hongos (Aspergillus, Penicillium, Fusarium, Claviceps, Alternaria)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Aflatoxinas</w:t>
      </w:r>
      <w:r>
        <w:rPr>
          <w:rFonts w:ascii="Cambria" w:hAnsi="Cambria"/>
        </w:rPr>
        <w:t xml:space="preserve"> (B1, B2, G1, G2, M1): la B1 es el hepatocarcinógeno natural más potente conocido, la M1 se excreta en leche. Afectan a frutos secos, cacahuetes, maíz y especias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Ocratoxina A</w:t>
      </w:r>
      <w:r>
        <w:rPr>
          <w:rFonts w:ascii="Cambria" w:hAnsi="Cambria"/>
        </w:rPr>
        <w:t xml:space="preserve">: nefrotóxica y carcinógena, presente en cereales, café, cacao, vino y frutos desecados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Patulina</w:t>
      </w:r>
      <w:r>
        <w:rPr>
          <w:rFonts w:ascii="Cambria" w:hAnsi="Cambria"/>
        </w:rPr>
        <w:t xml:space="preserve">: hepatotóxica, asociada a manzanas y derivados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Análisis por HPLC con detección de fluorescencia o MS/MS, con purificación por columnas de inmunoafinidad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Metales pesados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Plomo y cadmio</w:t>
      </w:r>
      <w:r>
        <w:rPr>
          <w:rFonts w:ascii="Cambria" w:hAnsi="Cambria"/>
        </w:rPr>
        <w:t xml:space="preserve">: neurotóxicos, nefrotóxicos y con efecto en el hueso, en cereales, hortalizas y despojos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Mercurio</w:t>
      </w:r>
      <w:r>
        <w:rPr>
          <w:rFonts w:ascii="Cambria" w:hAnsi="Cambria"/>
        </w:rPr>
        <w:t xml:space="preserve">: se transforma en metilmercurio, se bioacumula en la cadena trófica marina (tiburón, pez espada, atún rojo)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por ICP-MS o ETAAS, y el mercurio específicamente por vapor frío (CV-AAS)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Contaminantes de proceso tecnológico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3-MCPD y ésteres grasos</w:t>
      </w:r>
      <w:r>
        <w:rPr>
          <w:rFonts w:ascii="Cambria" w:hAnsi="Cambria"/>
        </w:rPr>
        <w:t xml:space="preserve">: carcinógenos generados en la hidrólisis ácida de proteínas vegetales y el refino de aceites, regulados por el </w:t>
      </w:r>
      <w:r>
        <w:rPr>
          <w:rFonts w:ascii="Cambria" w:hAnsi="Cambria"/>
          <w:b/>
          <w:bCs/>
        </w:rPr>
        <w:t xml:space="preserve">Reglamento (CE) 333/2007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Dioxinas y PCB</w:t>
      </w:r>
      <w:r>
        <w:rPr>
          <w:rFonts w:ascii="Cambria" w:hAnsi="Cambria"/>
        </w:rPr>
        <w:t xml:space="preserve">: contaminantes orgánicos persistentes de la combustión industrial, liposolubles, con toxicidad reproductiva, inmunológica y carcinógena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CONTAMINANTES Y OTRAS SUSTANCIAS EN LOS PRODUCTOS INDUSTRIALES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Causa frecuente de no conformidad: sustancias químicas prohibidas o por encima de los límites autorizados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Marco combinado: disposiciones horizontales y normativas sectoriales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Marco horizontal: el Reglamento REACH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1907/2006 (REACH)</w:t>
      </w:r>
      <w:r>
        <w:rPr>
          <w:rFonts w:ascii="Cambria" w:hAnsi="Cambria"/>
        </w:rPr>
        <w:t xml:space="preserve">: registro, evaluación, autorización y restricción de sustancias y mezclas químicas, en vigor desde el </w:t>
      </w:r>
      <w:r>
        <w:rPr>
          <w:rFonts w:ascii="Cambria" w:hAnsi="Cambria"/>
          <w:b/>
          <w:bCs/>
        </w:rPr>
        <w:t xml:space="preserve">1 de junio de 2007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Tres cambios conceptuales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Sistema único</w:t>
      </w:r>
      <w:r>
        <w:rPr>
          <w:rFonts w:ascii="Cambria" w:hAnsi="Cambria"/>
        </w:rPr>
        <w:t xml:space="preserve">, elimina la distinción entre sustancias nuevas y existentes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Inversión de la carga de la prueba</w:t>
      </w:r>
      <w:r>
        <w:rPr>
          <w:rFonts w:ascii="Cambria" w:hAnsi="Cambria"/>
        </w:rPr>
        <w:t xml:space="preserve">: son las empresas quienes demuestran la seguridad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Principio de sustitución</w:t>
      </w:r>
      <w:r>
        <w:rPr>
          <w:rFonts w:ascii="Cambria" w:hAnsi="Cambria"/>
        </w:rPr>
        <w:t xml:space="preserve"> de las sustancias altamente preocupantes (SVHC)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ECHA</w:t>
      </w:r>
      <w:r>
        <w:rPr>
          <w:rFonts w:ascii="Cambria" w:hAnsi="Cambria"/>
        </w:rPr>
        <w:t xml:space="preserve">, con sede en Helsinki, gestiona los aspectos científicos y técnicos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Tras culminar en 2018 el registro por tramos de tonelaje, el foco se centra en PFAS y microplásticos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Disposiciones sectoriales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Juguetes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2025/2509</w:t>
      </w:r>
      <w:r>
        <w:rPr>
          <w:rFonts w:ascii="Cambria" w:hAnsi="Cambria"/>
        </w:rPr>
        <w:t xml:space="preserve">, sustituye progresivamente a la </w:t>
      </w:r>
      <w:r>
        <w:rPr>
          <w:rFonts w:ascii="Cambria" w:hAnsi="Cambria"/>
          <w:b/>
          <w:bCs/>
        </w:rPr>
        <w:t xml:space="preserve">Directiva 2009/48/CE</w:t>
      </w:r>
      <w:r>
        <w:rPr>
          <w:rFonts w:ascii="Cambria" w:hAnsi="Cambria"/>
        </w:rPr>
        <w:t xml:space="preserve"> (transpuesta por el </w:t>
      </w:r>
      <w:r>
        <w:rPr>
          <w:rFonts w:ascii="Cambria" w:hAnsi="Cambria"/>
          <w:b/>
          <w:bCs/>
        </w:rPr>
        <w:t xml:space="preserve">Real Decreto 1205/2011</w:t>
      </w:r>
      <w:r>
        <w:rPr>
          <w:rFonts w:ascii="Cambria" w:hAnsi="Cambria"/>
        </w:rPr>
        <w:t xml:space="preserve">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Introduce el </w:t>
      </w:r>
      <w:r>
        <w:rPr>
          <w:rFonts w:ascii="Cambria" w:hAnsi="Cambria"/>
          <w:b/>
          <w:bCs/>
        </w:rPr>
        <w:t xml:space="preserve">Pasaporte Digital del Producto (DPP)</w:t>
      </w:r>
      <w:r>
        <w:rPr>
          <w:rFonts w:ascii="Cambria" w:hAnsi="Cambria"/>
        </w:rPr>
        <w:t xml:space="preserve"> con códigos QR e intensifica la prohibición de PFAS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Metales pesados</w:t>
      </w:r>
      <w:r>
        <w:rPr>
          <w:rFonts w:ascii="Cambria" w:hAnsi="Cambria"/>
        </w:rPr>
        <w:t xml:space="preserve">: norma </w:t>
      </w:r>
      <w:r>
        <w:rPr>
          <w:rFonts w:ascii="Cambria" w:hAnsi="Cambria"/>
          <w:b/>
          <w:bCs/>
        </w:rPr>
        <w:t xml:space="preserve">UNE-EN 71-3:2020+A2:2025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Ftalatos</w:t>
      </w:r>
      <w:r>
        <w:rPr>
          <w:rFonts w:ascii="Cambria" w:hAnsi="Cambria"/>
        </w:rPr>
        <w:t xml:space="preserve">: Anexo XVII de REACH (entradas 51 y 52), límite del </w:t>
      </w:r>
      <w:r>
        <w:rPr>
          <w:rFonts w:ascii="Cambria" w:hAnsi="Cambria"/>
          <w:b/>
          <w:bCs/>
        </w:rPr>
        <w:t xml:space="preserve">0,1 %</w:t>
      </w:r>
      <w:r>
        <w:rPr>
          <w:rFonts w:ascii="Cambria" w:hAnsi="Cambria"/>
        </w:rPr>
        <w:t xml:space="preserve"> en peso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Bisfenol A</w:t>
      </w:r>
      <w:r>
        <w:rPr>
          <w:rFonts w:ascii="Cambria" w:hAnsi="Cambria"/>
        </w:rPr>
        <w:t xml:space="preserve">: límite de migración de </w:t>
      </w:r>
      <w:r>
        <w:rPr>
          <w:rFonts w:ascii="Cambria" w:hAnsi="Cambria"/>
          <w:b/>
          <w:bCs/>
        </w:rPr>
        <w:t xml:space="preserve">0,1 mg/l</w:t>
      </w:r>
      <w:r>
        <w:rPr>
          <w:rFonts w:ascii="Cambria" w:hAnsi="Cambria"/>
        </w:rPr>
        <w:t xml:space="preserve"> conforme a la </w:t>
      </w:r>
      <w:r>
        <w:rPr>
          <w:rFonts w:ascii="Cambria" w:hAnsi="Cambria"/>
          <w:b/>
          <w:bCs/>
        </w:rPr>
        <w:t xml:space="preserve">Directiva (UE) 2017/898</w:t>
      </w:r>
      <w:r>
        <w:rPr>
          <w:rFonts w:ascii="Cambria" w:hAnsi="Cambria"/>
        </w:rPr>
        <w:t xml:space="preserve">, determinado según la norma EN 71-19. Sustancia SVHC de la ECHA, prohibida en materiales en contacto con alimentos por el </w:t>
      </w:r>
      <w:r>
        <w:rPr>
          <w:rFonts w:ascii="Cambria" w:hAnsi="Cambria"/>
          <w:b/>
          <w:bCs/>
        </w:rPr>
        <w:t xml:space="preserve">Reglamento (UE) 2024/3190</w:t>
      </w:r>
      <w:r>
        <w:rPr>
          <w:rFonts w:ascii="Cambria" w:hAnsi="Cambria"/>
        </w:rPr>
        <w:t xml:space="preserve"> desde enero de 2025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Calzado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Cromo VI</w:t>
      </w:r>
      <w:r>
        <w:rPr>
          <w:rFonts w:ascii="Cambria" w:hAnsi="Cambria"/>
        </w:rPr>
        <w:t xml:space="preserve">: Anexo XVII de REACH (entrada 47), prohibido a partir de </w:t>
      </w:r>
      <w:r>
        <w:rPr>
          <w:rFonts w:ascii="Cambria" w:hAnsi="Cambria"/>
          <w:b/>
          <w:bCs/>
        </w:rPr>
        <w:t xml:space="preserve">3,0 mg/kg</w:t>
      </w:r>
      <w:r>
        <w:rPr>
          <w:rFonts w:ascii="Cambria" w:hAnsi="Cambria"/>
        </w:rPr>
        <w:t xml:space="preserve"> en artículos de cuero en contacto con la piel. Referencia UNE-EN ISO 20345:2022 para calzado de seguridad. Determinación exclusivamente por espectrofotometría UV-Visible con difenilcarbazida (método ISO 17075), nunca por gravimetría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Dimetilfumarato</w:t>
      </w:r>
      <w:r>
        <w:rPr>
          <w:rFonts w:ascii="Cambria" w:hAnsi="Cambria"/>
        </w:rPr>
        <w:t xml:space="preserve">: biocida prohibido en artículos de consumo, detectado por GC-ECD o GC-MS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Colorantes azoicos y ftalatos</w:t>
      </w:r>
      <w:r>
        <w:rPr>
          <w:rFonts w:ascii="Cambria" w:hAnsi="Cambria"/>
        </w:rPr>
        <w:t xml:space="preserve">: regulados por el Anexo XVII de REACH, con control del pH por potenciometría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Productos textiles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Desplazadas las normas dispersas (Orden PRE/730/2003, RD 1114/2006) por el Anexo XVII de REACH como marco único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Colorantes azoicos</w:t>
      </w:r>
      <w:r>
        <w:rPr>
          <w:rFonts w:ascii="Cambria" w:hAnsi="Cambria"/>
        </w:rPr>
        <w:t xml:space="preserve"> (entrada 43): prohibidos si liberan aminas aromáticas por encima de </w:t>
      </w:r>
      <w:r>
        <w:rPr>
          <w:rFonts w:ascii="Cambria" w:hAnsi="Cambria"/>
          <w:b/>
          <w:bCs/>
        </w:rPr>
        <w:t xml:space="preserve">30 mg/kg</w:t>
      </w:r>
      <w:r>
        <w:rPr>
          <w:rFonts w:ascii="Cambria" w:hAnsi="Cambria"/>
        </w:rPr>
        <w:t xml:space="preserve">, determinadas por GC-MS o HPLC-MS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Ftalatos</w:t>
      </w:r>
      <w:r>
        <w:rPr>
          <w:rFonts w:ascii="Cambria" w:hAnsi="Cambria"/>
        </w:rPr>
        <w:t xml:space="preserve">: restringidos en tintas plastisol de estampación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Pentaclorofenol</w:t>
      </w:r>
      <w:r>
        <w:rPr>
          <w:rFonts w:ascii="Cambria" w:hAnsi="Cambria"/>
        </w:rPr>
        <w:t xml:space="preserve">: límite restrictivo, determinado por cromatografía de gases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Sustancias CMR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Reglamento (UE) 2018/1513</w:t>
      </w:r>
      <w:r>
        <w:rPr>
          <w:rFonts w:ascii="Cambria" w:hAnsi="Cambria"/>
        </w:rPr>
        <w:t xml:space="preserve">): entrada 72 del Anexo XVII, límites de hasta </w:t>
      </w:r>
      <w:r>
        <w:rPr>
          <w:rFonts w:ascii="Cambria" w:hAnsi="Cambria"/>
          <w:b/>
          <w:bCs/>
        </w:rPr>
        <w:t xml:space="preserve">1,0 mg/kg</w:t>
      </w:r>
      <w:r>
        <w:rPr>
          <w:rFonts w:ascii="Cambria" w:hAnsi="Cambria"/>
        </w:rPr>
        <w:t xml:space="preserve"> para unas treinta sustancias carcinógenas, mutágenas o tóxicas para la reproducción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Pequeño material eléctrico y electrónico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2011/65/UE (RoHS)</w:t>
      </w:r>
      <w:r>
        <w:rPr>
          <w:rFonts w:ascii="Cambria" w:hAnsi="Cambria"/>
        </w:rPr>
        <w:t xml:space="preserve">, transpuesta por el </w:t>
      </w:r>
      <w:r>
        <w:rPr>
          <w:rFonts w:ascii="Cambria" w:hAnsi="Cambria"/>
          <w:b/>
          <w:bCs/>
        </w:rPr>
        <w:t xml:space="preserve">Real Decreto 219/2013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Tras la </w:t>
      </w:r>
      <w:r>
        <w:rPr>
          <w:rFonts w:ascii="Cambria" w:hAnsi="Cambria"/>
          <w:b/>
          <w:bCs/>
        </w:rPr>
        <w:t xml:space="preserve">Directiva Delegada (UE) 2015/863</w:t>
      </w:r>
      <w:r>
        <w:rPr>
          <w:rFonts w:ascii="Cambria" w:hAnsi="Cambria"/>
        </w:rPr>
        <w:t xml:space="preserve">, lista de </w:t>
      </w:r>
      <w:r>
        <w:rPr>
          <w:rFonts w:ascii="Cambria" w:hAnsi="Cambria"/>
          <w:b/>
          <w:bCs/>
        </w:rPr>
        <w:t xml:space="preserve">10 sustancias prohibidas</w:t>
      </w:r>
      <w:r>
        <w:rPr>
          <w:rFonts w:ascii="Cambria" w:hAnsi="Cambria"/>
        </w:rPr>
        <w:t xml:space="preserve"> con límites en materiales homogéneos</w:t>
      </w:r>
    </w:p>
    <w:p>
      <w:pPr>
        <w:numPr>
          <w:ilvl w:val="2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Plomo: </w:t>
      </w:r>
      <w:r>
        <w:rPr>
          <w:rFonts w:ascii="Cambria" w:hAnsi="Cambria"/>
          <w:b/>
          <w:bCs/>
        </w:rPr>
        <w:t xml:space="preserve">0,1 %</w:t>
      </w:r>
    </w:p>
    <w:p>
      <w:pPr>
        <w:numPr>
          <w:ilvl w:val="2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Mercurio: </w:t>
      </w:r>
      <w:r>
        <w:rPr>
          <w:rFonts w:ascii="Cambria" w:hAnsi="Cambria"/>
          <w:b/>
          <w:bCs/>
        </w:rPr>
        <w:t xml:space="preserve">0,1 %</w:t>
      </w:r>
    </w:p>
    <w:p>
      <w:pPr>
        <w:numPr>
          <w:ilvl w:val="2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Cadmio: </w:t>
      </w:r>
      <w:r>
        <w:rPr>
          <w:rFonts w:ascii="Cambria" w:hAnsi="Cambria"/>
          <w:b/>
          <w:bCs/>
        </w:rPr>
        <w:t xml:space="preserve">0,01 %</w:t>
      </w:r>
    </w:p>
    <w:p>
      <w:pPr>
        <w:numPr>
          <w:ilvl w:val="2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Cromo hexavalente: </w:t>
      </w:r>
      <w:r>
        <w:rPr>
          <w:rFonts w:ascii="Cambria" w:hAnsi="Cambria"/>
          <w:b/>
          <w:bCs/>
        </w:rPr>
        <w:t xml:space="preserve">0,1 %</w:t>
      </w:r>
    </w:p>
    <w:p>
      <w:pPr>
        <w:numPr>
          <w:ilvl w:val="2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PBB y PBDE (retardantes de llama): </w:t>
      </w:r>
      <w:r>
        <w:rPr>
          <w:rFonts w:ascii="Cambria" w:hAnsi="Cambria"/>
          <w:b/>
          <w:bCs/>
        </w:rPr>
        <w:t xml:space="preserve">0,1 %</w:t>
      </w:r>
    </w:p>
    <w:p>
      <w:pPr>
        <w:numPr>
          <w:ilvl w:val="2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Ftalatos DEHP, BBP, DBP y DIBP: </w:t>
      </w:r>
      <w:r>
        <w:rPr>
          <w:rFonts w:ascii="Cambria" w:hAnsi="Cambria"/>
          <w:b/>
          <w:bCs/>
        </w:rPr>
        <w:t xml:space="preserve">0,1 %</w:t>
      </w:r>
      <w:r>
        <w:rPr>
          <w:rFonts w:ascii="Cambria" w:hAnsi="Cambria"/>
        </w:rPr>
        <w:t xml:space="preserve"> cada uno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evaluación científica del riesgo por organismos independientes (</w:t>
      </w:r>
      <w:r>
        <w:rPr>
          <w:rFonts w:ascii="Cambria" w:hAnsi="Cambria"/>
          <w:b/>
          <w:bCs/>
        </w:rPr>
        <w:t xml:space="preserve">EFSA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EMA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ECHA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JECFA</w:t>
      </w:r>
      <w:r>
        <w:rPr>
          <w:rFonts w:ascii="Cambria" w:hAnsi="Cambria"/>
        </w:rPr>
        <w:t xml:space="preserve">) precede siempre a la fijación del límite legal, sea IDA, LMR o concentración máxima tolerada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Tránsito generalizado de Directivas de transposición nacional a Reglamentos de aplicación directa (</w:t>
      </w:r>
      <w:r>
        <w:rPr>
          <w:rFonts w:ascii="Cambria" w:hAnsi="Cambria"/>
          <w:b/>
          <w:bCs/>
        </w:rPr>
        <w:t xml:space="preserve">Reglamento (CE) 1333/2008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Reglamento (CE) 396/2005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Reglamento (UE) 2023/915</w:t>
      </w:r>
      <w:r>
        <w:rPr>
          <w:rFonts w:ascii="Cambria" w:hAnsi="Cambria"/>
        </w:rPr>
        <w:t xml:space="preserve">, REACH), para mayor seguridad jurídica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Para los laboratorios de la Red SOIVRE, el conocimiento de los límites legales es inseparable del dominio de las técnicas analíticas (cromatografía, espectrofotometría, potenciometría) que permiten verificarlos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50 – Aditivos. Contaminantes y otras sustancias relacionadas con la seguridad química de los alimentos y de los productos industriales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