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seguridad alimentaria en la </w:t>
      </w:r>
      <w:r>
        <w:rPr>
          <w:rFonts w:ascii="Cambria" w:hAnsi="Cambria"/>
          <w:b/>
          <w:bCs/>
        </w:rPr>
        <w:t xml:space="preserve">UE</w:t>
      </w:r>
      <w:r>
        <w:rPr>
          <w:rFonts w:ascii="Cambria" w:hAnsi="Cambria"/>
        </w:rPr>
        <w:t xml:space="preserve"> se articula en torno a varios elementos, entre ellos la </w:t>
      </w:r>
      <w:r>
        <w:rPr>
          <w:rFonts w:ascii="Cambria" w:hAnsi="Cambria"/>
          <w:b/>
          <w:bCs/>
        </w:rPr>
        <w:t xml:space="preserve">seguridad química</w:t>
      </w:r>
      <w:r>
        <w:rPr>
          <w:rFonts w:ascii="Cambria" w:hAnsi="Cambria"/>
        </w:rPr>
        <w:t xml:space="preserve">, la </w:t>
      </w:r>
      <w:r>
        <w:rPr>
          <w:rFonts w:ascii="Cambria" w:hAnsi="Cambria"/>
          <w:b/>
          <w:bCs/>
        </w:rPr>
        <w:t xml:space="preserve">seguridad biológica</w:t>
      </w:r>
      <w:r>
        <w:rPr>
          <w:rFonts w:ascii="Cambria" w:hAnsi="Cambria"/>
        </w:rPr>
        <w:t xml:space="preserve">, la </w:t>
      </w:r>
      <w:r>
        <w:rPr>
          <w:rFonts w:ascii="Cambria" w:hAnsi="Cambria"/>
          <w:b/>
          <w:bCs/>
        </w:rPr>
        <w:t xml:space="preserve">biotecnología</w:t>
      </w:r>
      <w:r>
        <w:rPr>
          <w:rFonts w:ascii="Cambria" w:hAnsi="Cambria"/>
        </w:rPr>
        <w:t xml:space="preserve"> (OGM), el </w:t>
      </w:r>
      <w:r>
        <w:rPr>
          <w:rFonts w:ascii="Cambria" w:hAnsi="Cambria"/>
          <w:b/>
          <w:bCs/>
        </w:rPr>
        <w:t xml:space="preserve">etiquetado y nutrición</w:t>
      </w:r>
      <w:r>
        <w:rPr>
          <w:rFonts w:ascii="Cambria" w:hAnsi="Cambria"/>
        </w:rPr>
        <w:t xml:space="preserve">, la </w:t>
      </w:r>
      <w:r>
        <w:rPr>
          <w:rFonts w:ascii="Cambria" w:hAnsi="Cambria"/>
          <w:b/>
          <w:bCs/>
        </w:rPr>
        <w:t xml:space="preserve">trazabilidad</w:t>
      </w:r>
      <w:r>
        <w:rPr>
          <w:rFonts w:ascii="Cambria" w:hAnsi="Cambria"/>
        </w:rPr>
        <w:t xml:space="preserve"> y los </w:t>
      </w:r>
      <w:r>
        <w:rPr>
          <w:rFonts w:ascii="Cambria" w:hAnsi="Cambria"/>
          <w:b/>
          <w:bCs/>
        </w:rPr>
        <w:t xml:space="preserve">controles oficiales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texto de referencia es el </w:t>
      </w:r>
      <w:r>
        <w:rPr>
          <w:rFonts w:ascii="Cambria" w:hAnsi="Cambria"/>
          <w:b/>
          <w:bCs/>
        </w:rPr>
        <w:t xml:space="preserve">Reglamento (CE) 178/2002</w:t>
      </w:r>
      <w:r>
        <w:rPr>
          <w:rFonts w:ascii="Cambria" w:hAnsi="Cambria"/>
        </w:rPr>
        <w:t xml:space="preserve">, que crea la </w:t>
      </w:r>
      <w:r>
        <w:rPr>
          <w:rFonts w:ascii="Cambria" w:hAnsi="Cambria"/>
          <w:b/>
          <w:bCs/>
        </w:rPr>
        <w:t xml:space="preserve">Autoridad Europea de Seguridad Alimentaria (EFSA)</w:t>
      </w:r>
      <w:r>
        <w:rPr>
          <w:rFonts w:ascii="Cambria" w:hAnsi="Cambria"/>
        </w:rPr>
        <w:t xml:space="preserve"> y da lugar al </w:t>
      </w:r>
      <w:r>
        <w:rPr>
          <w:rFonts w:ascii="Cambria" w:hAnsi="Cambria"/>
          <w:b/>
          <w:bCs/>
        </w:rPr>
        <w:t xml:space="preserve">Paquete de Higiene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Este tema se centra en la </w:t>
      </w:r>
      <w:r>
        <w:rPr>
          <w:rFonts w:ascii="Cambria" w:hAnsi="Cambria"/>
          <w:b/>
          <w:bCs/>
        </w:rPr>
        <w:t xml:space="preserve">seguridad biológica</w:t>
      </w:r>
      <w:r>
        <w:rPr>
          <w:rFonts w:ascii="Cambria" w:hAnsi="Cambria"/>
        </w:rPr>
        <w:t xml:space="preserve">, es decir, los microorganismos patógenos y alterantes.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industria alimentaria debe garantizar productos salubres e inocuos y evitar el deterioro microbiológico, conociendo la calidad microbiológica de materias primas, procesos y producto final.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crecimiento bacteriano se desarrolla en cuatro fases sucesivas: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Fase de latencia</w:t>
      </w:r>
      <w:r>
        <w:rPr>
          <w:rFonts w:ascii="Cambria" w:hAnsi="Cambria"/>
        </w:rPr>
        <w:t xml:space="preserve">: ajuste al nuevo medio, sin división celular.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Fase exponencial</w:t>
      </w:r>
      <w:r>
        <w:rPr>
          <w:rFonts w:ascii="Cambria" w:hAnsi="Cambria"/>
        </w:rPr>
        <w:t xml:space="preserve">: crecimiento rápido y constante.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Fase estacionaria</w:t>
      </w:r>
      <w:r>
        <w:rPr>
          <w:rFonts w:ascii="Cambria" w:hAnsi="Cambria"/>
        </w:rPr>
        <w:t xml:space="preserve">: el número de células viables se estabiliza.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Fase de declive</w:t>
      </w:r>
      <w:r>
        <w:rPr>
          <w:rFonts w:ascii="Cambria" w:hAnsi="Cambria"/>
        </w:rPr>
        <w:t xml:space="preserve">: predominan las muertes celulares.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MICROBIOLOGÍA DE LOS ALIMENTOS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Influencia de la temperatura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vida microbiana es posible entre </w:t>
      </w:r>
      <w:r>
        <w:rPr>
          <w:rFonts w:ascii="Cambria" w:hAnsi="Cambria"/>
          <w:b/>
          <w:bCs/>
        </w:rPr>
        <w:t xml:space="preserve">-7 ºC y 90 ºC</w:t>
      </w:r>
      <w:r>
        <w:rPr>
          <w:rFonts w:ascii="Cambria" w:hAnsi="Cambria"/>
        </w:rPr>
        <w:t xml:space="preserve">, aunque cada microorganismo tiene un rango propio que raramente supera 35 ºC.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 acercarse a la temperatura óptima el crecimiento se acelera, mientras que superar la máxima resulta letal por desnaturalización de proteínas y enzimas, siendo la fase exponencial la más sensible.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temperaturas inferiores a la mínima inhiben el desarrollo (en general </w:t>
      </w:r>
      <w:r>
        <w:rPr>
          <w:rFonts w:ascii="Cambria" w:hAnsi="Cambria"/>
          <w:b/>
          <w:bCs/>
        </w:rPr>
        <w:t xml:space="preserve">-7 ºC</w:t>
      </w:r>
      <w:r>
        <w:rPr>
          <w:rFonts w:ascii="Cambria" w:hAnsi="Cambria"/>
        </w:rPr>
        <w:t xml:space="preserve"> para bacterias, </w:t>
      </w:r>
      <w:r>
        <w:rPr>
          <w:rFonts w:ascii="Cambria" w:hAnsi="Cambria"/>
          <w:b/>
          <w:bCs/>
        </w:rPr>
        <w:t xml:space="preserve">-4 ºC</w:t>
      </w:r>
      <w:r>
        <w:rPr>
          <w:rFonts w:ascii="Cambria" w:hAnsi="Cambria"/>
        </w:rPr>
        <w:t xml:space="preserve"> para hongos y </w:t>
      </w:r>
      <w:r>
        <w:rPr>
          <w:rFonts w:ascii="Cambria" w:hAnsi="Cambria"/>
          <w:b/>
          <w:bCs/>
        </w:rPr>
        <w:t xml:space="preserve">-2 ºC</w:t>
      </w:r>
      <w:r>
        <w:rPr>
          <w:rFonts w:ascii="Cambria" w:hAnsi="Cambria"/>
        </w:rPr>
        <w:t xml:space="preserve"> para levaduras), aunque el efecto letal del frío es menor que el del calor.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Existen patógenos </w:t>
      </w:r>
      <w:r>
        <w:rPr>
          <w:rFonts w:ascii="Cambria" w:hAnsi="Cambria"/>
          <w:b/>
          <w:bCs/>
        </w:rPr>
        <w:t xml:space="preserve">psicrótrofos</w:t>
      </w:r>
      <w:r>
        <w:rPr>
          <w:rFonts w:ascii="Cambria" w:hAnsi="Cambria"/>
        </w:rPr>
        <w:t xml:space="preserve"> capaces de crecer por debajo de 5 ºC, como </w:t>
      </w:r>
      <w:r>
        <w:rPr>
          <w:rFonts w:ascii="Cambria" w:hAnsi="Cambria"/>
          <w:b/>
          <w:bCs/>
        </w:rPr>
        <w:t xml:space="preserve">Listeria monocytogenes</w:t>
      </w:r>
      <w:r>
        <w:rPr>
          <w:rFonts w:ascii="Cambria" w:hAnsi="Cambria"/>
        </w:rPr>
        <w:t xml:space="preserve"> o </w:t>
      </w:r>
      <w:r>
        <w:rPr>
          <w:rFonts w:ascii="Cambria" w:hAnsi="Cambria"/>
          <w:b/>
          <w:bCs/>
        </w:rPr>
        <w:t xml:space="preserve">Clostridium botulinum tipo E</w:t>
      </w:r>
      <w:r>
        <w:rPr>
          <w:rFonts w:ascii="Cambria" w:hAnsi="Cambria"/>
        </w:rPr>
        <w:t xml:space="preserve"> (hasta 0 ºC). </w:t>
      </w:r>
      <w:r>
        <w:rPr>
          <w:rFonts w:ascii="Cambria" w:hAnsi="Cambria"/>
          <w:b/>
          <w:bCs/>
        </w:rPr>
        <w:t xml:space="preserve">Salmonella</w:t>
      </w:r>
      <w:r>
        <w:rPr>
          <w:rFonts w:ascii="Cambria" w:hAnsi="Cambria"/>
        </w:rPr>
        <w:t xml:space="preserve"> spp. tiene su límite en 5-6 ºC y </w:t>
      </w:r>
      <w:r>
        <w:rPr>
          <w:rFonts w:ascii="Cambria" w:hAnsi="Cambria"/>
          <w:b/>
          <w:bCs/>
        </w:rPr>
        <w:t xml:space="preserve">Clostridium perfringens</w:t>
      </w:r>
      <w:r>
        <w:rPr>
          <w:rFonts w:ascii="Cambria" w:hAnsi="Cambria"/>
        </w:rPr>
        <w:t xml:space="preserve"> en 8 ºC.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Clasificación según temperatura de crecimiento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Termófilos</w:t>
      </w:r>
      <w:r>
        <w:rPr>
          <w:rFonts w:ascii="Cambria" w:hAnsi="Cambria"/>
        </w:rPr>
        <w:t xml:space="preserve">: óptima 55-70 ºC (rango 40-90 ºC). Destacan </w:t>
      </w:r>
      <w:r>
        <w:rPr>
          <w:rFonts w:ascii="Cambria" w:hAnsi="Cambria"/>
          <w:b/>
          <w:bCs/>
        </w:rPr>
        <w:t xml:space="preserve">Bacillus</w:t>
      </w:r>
      <w:r>
        <w:rPr>
          <w:rFonts w:ascii="Cambria" w:hAnsi="Cambria"/>
        </w:rPr>
        <w:t xml:space="preserve"> spp. y </w:t>
      </w:r>
      <w:r>
        <w:rPr>
          <w:rFonts w:ascii="Cambria" w:hAnsi="Cambria"/>
          <w:b/>
          <w:bCs/>
        </w:rPr>
        <w:t xml:space="preserve">Clostridium</w:t>
      </w:r>
      <w:r>
        <w:rPr>
          <w:rFonts w:ascii="Cambria" w:hAnsi="Cambria"/>
        </w:rPr>
        <w:t xml:space="preserve"> spp., por la termorresistencia de sus endosporas en conservas.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Mesófilos</w:t>
      </w:r>
      <w:r>
        <w:rPr>
          <w:rFonts w:ascii="Cambria" w:hAnsi="Cambria"/>
        </w:rPr>
        <w:t xml:space="preserve">: óptima 30-45 ºC (rango 5-50 ºC). Incluye la mayoría de patógenos humanos y zoonóticos.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Psicrótrofos</w:t>
      </w:r>
      <w:r>
        <w:rPr>
          <w:rFonts w:ascii="Cambria" w:hAnsi="Cambria"/>
        </w:rPr>
        <w:t xml:space="preserve">: óptima 25-30 ºC (rango -5 a 35 ºC). Incluyen </w:t>
      </w:r>
      <w:r>
        <w:rPr>
          <w:rFonts w:ascii="Cambria" w:hAnsi="Cambria"/>
          <w:b/>
          <w:bCs/>
        </w:rPr>
        <w:t xml:space="preserve">Pseudomonas</w:t>
      </w:r>
      <w:r>
        <w:rPr>
          <w:rFonts w:ascii="Cambria" w:hAnsi="Cambria"/>
        </w:rPr>
        <w:t xml:space="preserve"> spp. y mohos como </w:t>
      </w:r>
      <w:r>
        <w:rPr>
          <w:rFonts w:ascii="Cambria" w:hAnsi="Cambria"/>
          <w:b/>
          <w:bCs/>
        </w:rPr>
        <w:t xml:space="preserve">Penicillium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Cladosporium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Aspergillus</w:t>
      </w:r>
      <w:r>
        <w:rPr>
          <w:rFonts w:ascii="Cambria" w:hAnsi="Cambria"/>
        </w:rPr>
        <w:t xml:space="preserve">. Principal causa de deterioro en refrigeración.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Psicrófilos estrictos</w:t>
      </w:r>
      <w:r>
        <w:rPr>
          <w:rFonts w:ascii="Cambria" w:hAnsi="Cambria"/>
        </w:rPr>
        <w:t xml:space="preserve">: óptima 10-15 ºC (rango -5 a 20 ºC), de origen marino, afectan a productos de la pesca conservados por frío.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temperatura interactúa con otros factores como la </w:t>
      </w:r>
      <w:r>
        <w:rPr>
          <w:rFonts w:ascii="Cambria" w:hAnsi="Cambria"/>
          <w:b/>
          <w:bCs/>
        </w:rPr>
        <w:t xml:space="preserve">actividad de agua (aw)</w:t>
      </w:r>
      <w:r>
        <w:rPr>
          <w:rFonts w:ascii="Cambria" w:hAnsi="Cambria"/>
        </w:rPr>
        <w:t xml:space="preserve">, el </w:t>
      </w:r>
      <w:r>
        <w:rPr>
          <w:rFonts w:ascii="Cambria" w:hAnsi="Cambria"/>
          <w:b/>
          <w:bCs/>
        </w:rPr>
        <w:t xml:space="preserve">pH</w:t>
      </w:r>
      <w:r>
        <w:rPr>
          <w:rFonts w:ascii="Cambria" w:hAnsi="Cambria"/>
        </w:rPr>
        <w:t xml:space="preserve">, el oxígeno y el sustrato.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MÉTODOS DE CONSERVACIÓN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conservación busca inhibir o destruir agentes extrínsecos (bacterias, mohos, levaduras) y endógenos (enzimas del alimento). Las técnicas fundamentales son los tratamientos por </w:t>
      </w:r>
      <w:r>
        <w:rPr>
          <w:rFonts w:ascii="Cambria" w:hAnsi="Cambria"/>
          <w:b/>
          <w:bCs/>
        </w:rPr>
        <w:t xml:space="preserve">calor</w:t>
      </w:r>
      <w:r>
        <w:rPr>
          <w:rFonts w:ascii="Cambria" w:hAnsi="Cambria"/>
        </w:rPr>
        <w:t xml:space="preserve"> y por </w:t>
      </w:r>
      <w:r>
        <w:rPr>
          <w:rFonts w:ascii="Cambria" w:hAnsi="Cambria"/>
          <w:b/>
          <w:bCs/>
        </w:rPr>
        <w:t xml:space="preserve">frío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Alimentos tratados por el calor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tratamiento térmico inactiva microorganismos y enzimas, equilibrando seguridad y calidad, y se diseña en función de la termorresistencia microbiana (</w:t>
      </w:r>
      <w:r>
        <w:rPr>
          <w:rFonts w:ascii="Cambria" w:hAnsi="Cambria"/>
          <w:b/>
          <w:bCs/>
        </w:rPr>
        <w:t xml:space="preserve">valor D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valor z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Pasteurización</w:t>
      </w:r>
      <w:r>
        <w:rPr>
          <w:rFonts w:ascii="Cambria" w:hAnsi="Cambria"/>
        </w:rPr>
        <w:t xml:space="preserve">: temperaturas generalmente inferiores a 100 ºC, destruye formas vegetativas patógenas y alterantes. Objetivos: eliminar riesgos sanitarios (leche, huevos), evitar alteración (mosto, zumo) o servir de método complementario (vino). Resisten microorganismos </w:t>
      </w:r>
      <w:r>
        <w:rPr>
          <w:rFonts w:ascii="Cambria" w:hAnsi="Cambria"/>
          <w:b/>
          <w:bCs/>
        </w:rPr>
        <w:t xml:space="preserve">termodúricos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termofílicos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Esterilización</w:t>
      </w:r>
      <w:r>
        <w:rPr>
          <w:rFonts w:ascii="Cambria" w:hAnsi="Cambria"/>
        </w:rPr>
        <w:t xml:space="preserve">: temperaturas superiores a 100 ºC en autoclave, destruye formas vegetativas y esporas, con envasado hermético permanente. La intensidad depende del pH: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Alimentos de </w:t>
      </w:r>
      <w:r>
        <w:rPr>
          <w:rFonts w:ascii="Cambria" w:hAnsi="Cambria"/>
          <w:b/>
          <w:bCs/>
        </w:rPr>
        <w:t xml:space="preserve">baja acidez</w:t>
      </w:r>
      <w:r>
        <w:rPr>
          <w:rFonts w:ascii="Cambria" w:hAnsi="Cambria"/>
        </w:rPr>
        <w:t xml:space="preserve"> (pH &gt; 4,6): tratamientos drásticos (concepto </w:t>
      </w:r>
      <w:r>
        <w:rPr>
          <w:rFonts w:ascii="Cambria" w:hAnsi="Cambria"/>
          <w:b/>
          <w:bCs/>
        </w:rPr>
        <w:t xml:space="preserve">12D</w:t>
      </w:r>
      <w:r>
        <w:rPr>
          <w:rFonts w:ascii="Cambria" w:hAnsi="Cambria"/>
        </w:rPr>
        <w:t xml:space="preserve"> frente a </w:t>
      </w:r>
      <w:r>
        <w:rPr>
          <w:rFonts w:ascii="Cambria" w:hAnsi="Cambria"/>
          <w:b/>
          <w:bCs/>
        </w:rPr>
        <w:t xml:space="preserve">Clostridium botulinum</w:t>
      </w:r>
      <w:r>
        <w:rPr>
          <w:rFonts w:ascii="Cambria" w:hAnsi="Cambria"/>
        </w:rPr>
        <w:t xml:space="preserve">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Alimentos </w:t>
      </w:r>
      <w:r>
        <w:rPr>
          <w:rFonts w:ascii="Cambria" w:hAnsi="Cambria"/>
          <w:b/>
          <w:bCs/>
        </w:rPr>
        <w:t xml:space="preserve">ácidos</w:t>
      </w:r>
      <w:r>
        <w:rPr>
          <w:rFonts w:ascii="Cambria" w:hAnsi="Cambria"/>
        </w:rPr>
        <w:t xml:space="preserve"> (pH &lt; 4,6): tratamientos menos severos, ya que la acidez inhibe la germinación de esporas.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Uperización o UHT</w:t>
      </w:r>
      <w:r>
        <w:rPr>
          <w:rFonts w:ascii="Cambria" w:hAnsi="Cambria"/>
        </w:rPr>
        <w:t xml:space="preserve">: 135-150 ºC durante 1-4 segundos, con envasado aséptico. Minimiza pérdidas nutricionales frente a la esterilización convencional (115-120 ºC, 15-20 minutos). Es la tecnología de la leche UHT, natas y bebidas vegetales.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Alimentos tratados por el frío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frío ralentiza o inhibe la actividad microbiana y enzimática. Los microorganismos </w:t>
      </w:r>
      <w:r>
        <w:rPr>
          <w:rFonts w:ascii="Cambria" w:hAnsi="Cambria"/>
          <w:b/>
          <w:bCs/>
        </w:rPr>
        <w:t xml:space="preserve">psicrófilos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psicrótrofos</w:t>
      </w:r>
      <w:r>
        <w:rPr>
          <w:rFonts w:ascii="Cambria" w:hAnsi="Cambria"/>
        </w:rPr>
        <w:t xml:space="preserve"> son los más relevantes.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Enfriamiento</w:t>
      </w:r>
      <w:r>
        <w:rPr>
          <w:rFonts w:ascii="Cambria" w:hAnsi="Cambria"/>
        </w:rPr>
        <w:t xml:space="preserve"> (10-15 ºC): frutas y hortalizas sensibles al frío.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Refrigeración</w:t>
      </w:r>
      <w:r>
        <w:rPr>
          <w:rFonts w:ascii="Cambria" w:hAnsi="Cambria"/>
        </w:rPr>
        <w:t xml:space="preserve"> (-1 a 7 ºC): alimentos perecederos animales y vegetales. Inhibe termófilos y mesófilos, dejando el deterioro a cargo de psicrótrofos y psicrófilos, con </w:t>
      </w:r>
      <w:r>
        <w:rPr>
          <w:rFonts w:ascii="Cambria" w:hAnsi="Cambria"/>
          <w:b/>
          <w:bCs/>
        </w:rPr>
        <w:t xml:space="preserve">Pseudomonas</w:t>
      </w:r>
      <w:r>
        <w:rPr>
          <w:rFonts w:ascii="Cambria" w:hAnsi="Cambria"/>
        </w:rPr>
        <w:t xml:space="preserve"> como principal género deteriorante.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refrigeración rápida por debajo de 5 ºC frena a los patógenos mesófilos (</w:t>
      </w:r>
      <w:r>
        <w:rPr>
          <w:rFonts w:ascii="Cambria" w:hAnsi="Cambria"/>
          <w:b/>
          <w:bCs/>
        </w:rPr>
        <w:t xml:space="preserve">Salmonella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Staphylococcus aureus</w:t>
      </w:r>
      <w:r>
        <w:rPr>
          <w:rFonts w:ascii="Cambria" w:hAnsi="Cambria"/>
        </w:rPr>
        <w:t xml:space="preserve">), pero no a psicrótrofos como </w:t>
      </w:r>
      <w:r>
        <w:rPr>
          <w:rFonts w:ascii="Cambria" w:hAnsi="Cambria"/>
          <w:b/>
          <w:bCs/>
        </w:rPr>
        <w:t xml:space="preserve">Listeria monocytogenes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Clostridium botulinum tipo E</w:t>
      </w:r>
      <w:r>
        <w:rPr>
          <w:rFonts w:ascii="Cambria" w:hAnsi="Cambria"/>
        </w:rPr>
        <w:t xml:space="preserve"> o </w:t>
      </w:r>
      <w:r>
        <w:rPr>
          <w:rFonts w:ascii="Cambria" w:hAnsi="Cambria"/>
          <w:b/>
          <w:bCs/>
        </w:rPr>
        <w:t xml:space="preserve">Yersinia enterocolitica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Congelación</w:t>
      </w:r>
      <w:r>
        <w:rPr>
          <w:rFonts w:ascii="Cambria" w:hAnsi="Cambria"/>
        </w:rPr>
        <w:t xml:space="preserve">: temperaturas inferiores a </w:t>
      </w:r>
      <w:r>
        <w:rPr>
          <w:rFonts w:ascii="Cambria" w:hAnsi="Cambria"/>
          <w:b/>
          <w:bCs/>
        </w:rPr>
        <w:t xml:space="preserve">-18 ºC</w:t>
      </w:r>
      <w:r>
        <w:rPr>
          <w:rFonts w:ascii="Cambria" w:hAnsi="Cambria"/>
        </w:rPr>
        <w:t xml:space="preserve">, que detienen la multiplicación microbiana al reducir la aw.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Congelación lenta</w:t>
      </w:r>
      <w:r>
        <w:rPr>
          <w:rFonts w:ascii="Cambria" w:hAnsi="Cambria"/>
        </w:rPr>
        <w:t xml:space="preserve"> (3-72 horas): cristales grandes, daño estructural.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Congelación rápida</w:t>
      </w:r>
      <w:r>
        <w:rPr>
          <w:rFonts w:ascii="Cambria" w:hAnsi="Cambria"/>
        </w:rPr>
        <w:t xml:space="preserve"> (-20 ºC en menos de 30 minutos): microcristales, mejor textura.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Etapas: enfriamiento inicial, cambio de estado (cristalización) y enfriamiento posterior hasta -18 ºC.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Sobreviven mejor las bacterias Gram-positivas, las endosporas y las toxinas preformadas (</w:t>
      </w:r>
      <w:r>
        <w:rPr>
          <w:rFonts w:ascii="Cambria" w:hAnsi="Cambria"/>
          <w:b/>
          <w:bCs/>
        </w:rPr>
        <w:t xml:space="preserve">C. botulinum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S. aureus</w:t>
      </w:r>
      <w:r>
        <w:rPr>
          <w:rFonts w:ascii="Cambria" w:hAnsi="Cambria"/>
        </w:rPr>
        <w:t xml:space="preserve">). La descongelación debe hacerse en refrigeración (≤ 4 ºC).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OTRAS TÉCNICAS DE CONSERVACIÓN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Alimentos de IV Gama</w:t>
      </w:r>
      <w:r>
        <w:rPr>
          <w:rFonts w:ascii="Cambria" w:hAnsi="Cambria"/>
        </w:rPr>
        <w:t xml:space="preserve">: frescos, lavados y cortados, envasados en atmósfera modificada (EAM), bajo cadena de frío.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Alimentos de V Gama</w:t>
      </w:r>
      <w:r>
        <w:rPr>
          <w:rFonts w:ascii="Cambria" w:hAnsi="Cambria"/>
        </w:rPr>
        <w:t xml:space="preserve">: cocinados o pasteurizados, listos para consumo, en refrigeración.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Platos preparados: </w:t>
      </w:r>
      <w:r>
        <w:rPr>
          <w:rFonts w:ascii="Cambria" w:hAnsi="Cambria"/>
          <w:b/>
          <w:bCs/>
        </w:rPr>
        <w:t xml:space="preserve">precocinados</w:t>
      </w:r>
      <w:r>
        <w:rPr>
          <w:rFonts w:ascii="Cambria" w:hAnsi="Cambria"/>
        </w:rPr>
        <w:t xml:space="preserve"> (requieren tratamiento posterior), </w:t>
      </w:r>
      <w:r>
        <w:rPr>
          <w:rFonts w:ascii="Cambria" w:hAnsi="Cambria"/>
          <w:b/>
          <w:bCs/>
        </w:rPr>
        <w:t xml:space="preserve">cocinados</w:t>
      </w:r>
      <w:r>
        <w:rPr>
          <w:rFonts w:ascii="Cambria" w:hAnsi="Cambria"/>
        </w:rPr>
        <w:t xml:space="preserve"> (listos para consumir) y </w:t>
      </w:r>
      <w:r>
        <w:rPr>
          <w:rFonts w:ascii="Cambria" w:hAnsi="Cambria"/>
          <w:b/>
          <w:bCs/>
        </w:rPr>
        <w:t xml:space="preserve">cocinados de consumo inmediato</w:t>
      </w:r>
      <w:r>
        <w:rPr>
          <w:rFonts w:ascii="Cambria" w:hAnsi="Cambria"/>
        </w:rPr>
        <w:t xml:space="preserve"> (≥ 63-65 ºC o refrigerados, consumo el mismo día).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Tecnologías no térmicas: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Altas Presiones Hidrostáticas (HHP)</w:t>
      </w:r>
      <w:r>
        <w:rPr>
          <w:rFonts w:ascii="Cambria" w:hAnsi="Cambria"/>
        </w:rPr>
        <w:t xml:space="preserve">: 400-600 MPa, inactiva células vegetativas y enzimas sin dañar vitaminas ni aromas.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Campos Eléctricos Pulsados (PEF)</w:t>
      </w:r>
      <w:r>
        <w:rPr>
          <w:rFonts w:ascii="Cambria" w:hAnsi="Cambria"/>
        </w:rPr>
        <w:t xml:space="preserve">: 10-50 kV/cm, produce electroporación de membranas con mínimo efecto térmico.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Radiación ionizante</w:t>
      </w:r>
      <w:r>
        <w:rPr>
          <w:rFonts w:ascii="Cambria" w:hAnsi="Cambria"/>
        </w:rPr>
        <w:t xml:space="preserve">: inactiva el ADN microbiano mediante rayos gamma o electrones (radurización, radicidación, radappertización).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Otras: ultrasonidos de potencia, UV-C y homogeneización a alta presión.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ESTÁNDARES MICROBIOLÓGICOS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criterios microbiológicos definen la aceptabilidad de un producto o proceso según ausencia, presencia o concentración de microorganismos o sus toxinas.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(CE) 2073/2005</w:t>
      </w:r>
      <w:r>
        <w:rPr>
          <w:rFonts w:ascii="Cambria" w:hAnsi="Cambria"/>
        </w:rPr>
        <w:t xml:space="preserve"> distingue dos categorías: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Criterios de seguridad alimentaria</w:t>
      </w:r>
      <w:r>
        <w:rPr>
          <w:rFonts w:ascii="Cambria" w:hAnsi="Cambria"/>
        </w:rPr>
        <w:t xml:space="preserve">: aplican a </w:t>
      </w:r>
      <w:r>
        <w:rPr>
          <w:rFonts w:ascii="Cambria" w:hAnsi="Cambria"/>
          <w:b/>
          <w:bCs/>
        </w:rPr>
        <w:t xml:space="preserve">Salmonella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Listeria monocytogenes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Cronobacter sakazakii</w:t>
      </w:r>
      <w:r>
        <w:rPr>
          <w:rFonts w:ascii="Cambria" w:hAnsi="Cambria"/>
        </w:rPr>
        <w:t xml:space="preserve"> (fórmulas infantiles), enterotoxinas estafilocócicas e histamina. Su incumplimiento exige retirada del producto.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Criterios de higiene del proceso</w:t>
      </w:r>
      <w:r>
        <w:rPr>
          <w:rFonts w:ascii="Cambria" w:hAnsi="Cambria"/>
        </w:rPr>
        <w:t xml:space="preserve">: recuentos de </w:t>
      </w:r>
      <w:r>
        <w:rPr>
          <w:rFonts w:ascii="Cambria" w:hAnsi="Cambria"/>
          <w:b/>
          <w:bCs/>
        </w:rPr>
        <w:t xml:space="preserve">Escherichia coli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Enterobacteriaceae</w:t>
      </w:r>
      <w:r>
        <w:rPr>
          <w:rFonts w:ascii="Cambria" w:hAnsi="Cambria"/>
        </w:rPr>
        <w:t xml:space="preserve"> o colonia a 30 ºC, cuyo incumplimiento exige medidas correctoras en fabricación.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2024/2895</w:t>
      </w:r>
      <w:r>
        <w:rPr>
          <w:rFonts w:ascii="Cambria" w:hAnsi="Cambria"/>
        </w:rPr>
        <w:t xml:space="preserve"> modifica el </w:t>
      </w:r>
      <w:r>
        <w:rPr>
          <w:rFonts w:ascii="Cambria" w:hAnsi="Cambria"/>
          <w:b/>
          <w:bCs/>
        </w:rPr>
        <w:t xml:space="preserve">Reglamento (CE) 2073/2005</w:t>
      </w:r>
      <w:r>
        <w:rPr>
          <w:rFonts w:ascii="Cambria" w:hAnsi="Cambria"/>
        </w:rPr>
        <w:t xml:space="preserve"> reforzando los criterios para </w:t>
      </w:r>
      <w:r>
        <w:rPr>
          <w:rFonts w:ascii="Cambria" w:hAnsi="Cambria"/>
          <w:b/>
          <w:bCs/>
        </w:rPr>
        <w:t xml:space="preserve">Listeria monocytogenes</w:t>
      </w:r>
      <w:r>
        <w:rPr>
          <w:rFonts w:ascii="Cambria" w:hAnsi="Cambria"/>
        </w:rPr>
        <w:t xml:space="preserve"> en alimentos listos para el consumo, exigiendo ausencia en 25 g salvo que se demuestre que no se superarán los </w:t>
      </w:r>
      <w:r>
        <w:rPr>
          <w:rFonts w:ascii="Cambria" w:hAnsi="Cambria"/>
          <w:b/>
          <w:bCs/>
        </w:rPr>
        <w:t xml:space="preserve">100 ufc/g</w:t>
      </w:r>
      <w:r>
        <w:rPr>
          <w:rFonts w:ascii="Cambria" w:hAnsi="Cambria"/>
        </w:rPr>
        <w:t xml:space="preserve"> al final de la vida útil.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(CE) 2073/2005</w:t>
      </w:r>
      <w:r>
        <w:rPr>
          <w:rFonts w:ascii="Cambria" w:hAnsi="Cambria"/>
        </w:rPr>
        <w:t xml:space="preserve"> fija criterios para productos cárnicos, lácteos, ovoproductos, de la pesca y frutas y hortalizas.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CODEX Alimentarius</w:t>
      </w:r>
      <w:r>
        <w:rPr>
          <w:rFonts w:ascii="Cambria" w:hAnsi="Cambria"/>
        </w:rPr>
        <w:t xml:space="preserve"> ha desarrollado los *Principios para el establecimiento y la aplicación de criterios microbiológicos a los alimentos*, usados como guía internacional.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 nacional: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640/2006</w:t>
      </w:r>
      <w:r>
        <w:rPr>
          <w:rFonts w:ascii="Cambria" w:hAnsi="Cambria"/>
        </w:rPr>
        <w:t xml:space="preserve">, sobre aplicación del Paquete de Higiene en España.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1420/2006</w:t>
      </w:r>
      <w:r>
        <w:rPr>
          <w:rFonts w:ascii="Cambria" w:hAnsi="Cambria"/>
        </w:rPr>
        <w:t xml:space="preserve">, sobre congelación preventiva frente a </w:t>
      </w:r>
      <w:r>
        <w:rPr>
          <w:rFonts w:ascii="Cambria" w:hAnsi="Cambria"/>
          <w:b/>
          <w:bCs/>
        </w:rPr>
        <w:t xml:space="preserve">Anisakis</w:t>
      </w:r>
      <w:r>
        <w:rPr>
          <w:rFonts w:ascii="Cambria" w:hAnsi="Cambria"/>
        </w:rPr>
        <w:t xml:space="preserve"> en productos de la pesca (≤ -20 ºC durante al menos 24 horas, o ≤ -35 ºC durante al menos 15 horas), complementado por el </w:t>
      </w:r>
      <w:r>
        <w:rPr>
          <w:rFonts w:ascii="Cambria" w:hAnsi="Cambria"/>
          <w:b/>
          <w:bCs/>
        </w:rPr>
        <w:t xml:space="preserve">Real Decreto 1021/2022</w:t>
      </w:r>
      <w:r>
        <w:rPr>
          <w:rFonts w:ascii="Cambria" w:hAnsi="Cambria"/>
        </w:rPr>
        <w:t xml:space="preserve">, sobre requisitos de higiene en el comercio al por menor y obligaciones informativas en restauración.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1109/1991</w:t>
      </w:r>
      <w:r>
        <w:rPr>
          <w:rFonts w:ascii="Cambria" w:hAnsi="Cambria"/>
        </w:rPr>
        <w:t xml:space="preserve">, que aprueba la Norma General relativa a los alimentos ultracongelados, exigiendo temperaturas ≤ -18 ºC en toda la cadena de distribución.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microbiología de los alimentos es el pilar técnico de la labor de inspección del </w:t>
      </w:r>
      <w:r>
        <w:rPr>
          <w:rFonts w:ascii="Cambria" w:hAnsi="Cambria"/>
          <w:b/>
          <w:bCs/>
        </w:rPr>
        <w:t xml:space="preserve">Servicio de Inspección SOIVRE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control de los métodos de conservación por calor, por frío y de las tecnologías no térmicas garantiza el control de la flora patógena y alterante en los intercambios comerciales.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marco normativo de criterios microbiológicos, encabezado por el </w:t>
      </w:r>
      <w:r>
        <w:rPr>
          <w:rFonts w:ascii="Cambria" w:hAnsi="Cambria"/>
          <w:b/>
          <w:bCs/>
        </w:rPr>
        <w:t xml:space="preserve">Reglamento (CE) 2073/2005</w:t>
      </w:r>
      <w:r>
        <w:rPr>
          <w:rFonts w:ascii="Cambria" w:hAnsi="Cambria"/>
        </w:rPr>
        <w:t xml:space="preserve"> y sus actualizaciones como el </w:t>
      </w:r>
      <w:r>
        <w:rPr>
          <w:rFonts w:ascii="Cambria" w:hAnsi="Cambria"/>
          <w:b/>
          <w:bCs/>
        </w:rPr>
        <w:t xml:space="preserve">Reglamento (UE) 2024/2895</w:t>
      </w:r>
      <w:r>
        <w:rPr>
          <w:rFonts w:ascii="Cambria" w:hAnsi="Cambria"/>
        </w:rPr>
        <w:t xml:space="preserve">, resulta imprescindible para auditar la inocuidad, calidad y conformidad de las mercancías en comercio exterior.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51 – Microbiología de los alimentos: alimentos tratados por el calor y alimentos tratados por el frío. Estándares microbiológicos tanto sanitarios como de calidad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