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footer1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>
        <w:rPr>
          <w:rFonts w:ascii="Cambria" w:hAnsi="Cambria"/>
          <w:b/>
          <w:bCs/>
          <w:color w:val="auto"/>
          <w:sz w:val="28"/>
          <w:szCs w:val="28"/>
        </w:rPr>
        <w:t xml:space="preserve">1. INTRODUCCIÓN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El envasado alimentario responde a una doble exigencia, productos naturales y mayor vida útil, con un papel técnico e industrial estratégico.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La legislación sobre seguridad alimentaria adopta un enfoque integral y preventivo, "del campo a la mesa".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El marco europeo se articula en España mediante el </w:t>
      </w:r>
      <w:r>
        <w:rPr>
          <w:rFonts w:ascii="Cambria" w:hAnsi="Cambria"/>
          <w:b/>
          <w:bCs/>
        </w:rPr>
        <w:t xml:space="preserve">Real Decreto 1055/2022</w:t>
      </w:r>
      <w:r>
        <w:rPr>
          <w:rFonts w:ascii="Cambria" w:hAnsi="Cambria"/>
        </w:rPr>
        <w:t xml:space="preserve">, de envases y residuos de envases, en consonancia con la </w:t>
      </w:r>
      <w:r>
        <w:rPr>
          <w:rFonts w:ascii="Cambria" w:hAnsi="Cambria"/>
          <w:b/>
          <w:bCs/>
        </w:rPr>
        <w:t xml:space="preserve">Ley 7/2022</w:t>
      </w:r>
      <w:r>
        <w:rPr>
          <w:rFonts w:ascii="Cambria" w:hAnsi="Cambria"/>
        </w:rPr>
        <w:t xml:space="preserve"> de residuos y el </w:t>
      </w:r>
      <w:r>
        <w:rPr>
          <w:rFonts w:ascii="Cambria" w:hAnsi="Cambria"/>
          <w:b/>
          <w:bCs/>
        </w:rPr>
        <w:t xml:space="preserve">Reglamento (UE) 2025/40</w:t>
      </w:r>
      <w:r>
        <w:rPr>
          <w:rFonts w:ascii="Cambria" w:hAnsi="Cambria"/>
        </w:rPr>
        <w:t xml:space="preserve"> (PPWR).</w:t>
      </w:r>
    </w:p>
    <w:p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>
        <w:rPr>
          <w:rFonts w:ascii="Cambria" w:hAnsi="Cambria"/>
          <w:b/>
          <w:bCs/>
          <w:color w:val="auto"/>
          <w:sz w:val="28"/>
          <w:szCs w:val="28"/>
        </w:rPr>
        <w:t xml:space="preserve">2. ENVASES Y EMBALAJES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2.1. Definición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El </w:t>
      </w:r>
      <w:r>
        <w:rPr>
          <w:rFonts w:ascii="Cambria" w:hAnsi="Cambria"/>
          <w:b/>
          <w:bCs/>
        </w:rPr>
        <w:t xml:space="preserve">Real Decreto 1055/2022</w:t>
      </w:r>
      <w:r>
        <w:rPr>
          <w:rFonts w:ascii="Cambria" w:hAnsi="Cambria"/>
        </w:rPr>
        <w:t xml:space="preserve"> define envase como todo producto para contener, proteger, manipular, distribuir y presentar mercancías, incluidos los desechables.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Clasificación en tres categorías: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Envases primarios</w:t>
      </w:r>
      <w:r>
        <w:rPr>
          <w:rFonts w:ascii="Cambria" w:hAnsi="Cambria"/>
        </w:rPr>
        <w:t xml:space="preserve">: unidad de venta destinada al consumidor final.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Envases secundarios</w:t>
      </w:r>
      <w:r>
        <w:rPr>
          <w:rFonts w:ascii="Cambria" w:hAnsi="Cambria"/>
        </w:rPr>
        <w:t xml:space="preserve">: agrupación de unidades de venta, separable sin alterar el producto.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Envases terciarios</w:t>
      </w:r>
      <w:r>
        <w:rPr>
          <w:rFonts w:ascii="Cambria" w:hAnsi="Cambria"/>
        </w:rPr>
        <w:t xml:space="preserve">: facilitan manipulación y transporte, evitando deterioro logístico.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El envase es también fuente de información legal, trazabilidad y etiquetado.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2.2. Funciones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Protección física</w:t>
      </w:r>
      <w:r>
        <w:rPr>
          <w:rFonts w:ascii="Cambria" w:hAnsi="Cambria"/>
        </w:rPr>
        <w:t xml:space="preserve">: frente a luz, suciedad y golpes, por ejemplo envases opacos que evitan la fotodegradación de la riboflavina.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Protección química</w:t>
      </w:r>
      <w:r>
        <w:rPr>
          <w:rFonts w:ascii="Cambria" w:hAnsi="Cambria"/>
        </w:rPr>
        <w:t xml:space="preserve">: barrera frente a gases y control de la migración de humedad.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Protección microbiológica</w:t>
      </w:r>
      <w:r>
        <w:rPr>
          <w:rFonts w:ascii="Cambria" w:hAnsi="Cambria"/>
        </w:rPr>
        <w:t xml:space="preserve">: frena contaminaciones cruzadas y el paso de patógenos.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2.3. Técnicas de envasado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Envasado tradicional</w:t>
      </w:r>
      <w:r>
        <w:rPr>
          <w:rFonts w:ascii="Cambria" w:hAnsi="Cambria"/>
        </w:rPr>
        <w:t xml:space="preserve">: aislamiento físico simple.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Envasado al vacío</w:t>
      </w:r>
      <w:r>
        <w:rPr>
          <w:rFonts w:ascii="Cambria" w:hAnsi="Cambria"/>
        </w:rPr>
        <w:t xml:space="preserve">: extracción total del aire, frena microorganismos aerobios.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Atmósferas controladas (AC)</w:t>
      </w:r>
      <w:r>
        <w:rPr>
          <w:rFonts w:ascii="Cambria" w:hAnsi="Cambria"/>
        </w:rPr>
        <w:t xml:space="preserve">: mezcla de gases (N2, CO2, O2) monitorizada y ajustada de forma constante, típica de cámaras frigoríficas.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Atmósferas modificadas (MAP)</w:t>
      </w:r>
      <w:r>
        <w:rPr>
          <w:rFonts w:ascii="Cambria" w:hAnsi="Cambria"/>
        </w:rPr>
        <w:t xml:space="preserve">: sustitución del aire en el sellado, composición dinámica, exige cadena de frío estricta.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El vacío y el MAP son las técnicas más extendidas para alimentos grasos y perecederos.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2.4. Materiales empleados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Papel y cartón</w:t>
      </w:r>
      <w:r>
        <w:rPr>
          <w:rFonts w:ascii="Cambria" w:hAnsi="Cambria"/>
        </w:rPr>
        <w:t xml:space="preserve">: envolturas, cajas de transporte, huevos o congelados.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Vidrio</w:t>
      </w:r>
      <w:r>
        <w:rPr>
          <w:rFonts w:ascii="Cambria" w:hAnsi="Cambria"/>
        </w:rPr>
        <w:t xml:space="preserve">: inerte, higiénico e impermeable, para líquidos y conservas.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Plásticos</w:t>
      </w:r>
      <w:r>
        <w:rPr>
          <w:rFonts w:ascii="Cambria" w:hAnsi="Cambria"/>
        </w:rPr>
        <w:t xml:space="preserve">: </w:t>
      </w:r>
      <w:r>
        <w:rPr>
          <w:rFonts w:ascii="Cambria" w:hAnsi="Cambria"/>
          <w:b/>
          <w:bCs/>
        </w:rPr>
        <w:t xml:space="preserve">PET</w:t>
      </w:r>
      <w:r>
        <w:rPr>
          <w:rFonts w:ascii="Cambria" w:hAnsi="Cambria"/>
        </w:rPr>
        <w:t xml:space="preserve">, </w:t>
      </w:r>
      <w:r>
        <w:rPr>
          <w:rFonts w:ascii="Cambria" w:hAnsi="Cambria"/>
          <w:b/>
          <w:bCs/>
        </w:rPr>
        <w:t xml:space="preserve">PE</w:t>
      </w:r>
      <w:r>
        <w:rPr>
          <w:rFonts w:ascii="Cambria" w:hAnsi="Cambria"/>
        </w:rPr>
        <w:t xml:space="preserve"> y </w:t>
      </w:r>
      <w:r>
        <w:rPr>
          <w:rFonts w:ascii="Cambria" w:hAnsi="Cambria"/>
          <w:b/>
          <w:bCs/>
        </w:rPr>
        <w:t xml:space="preserve">PP</w:t>
      </w:r>
      <w:r>
        <w:rPr>
          <w:rFonts w:ascii="Cambria" w:hAnsi="Cambria"/>
        </w:rPr>
        <w:t xml:space="preserve">, con restricción creciente del PVC.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Metales</w:t>
      </w:r>
      <w:r>
        <w:rPr>
          <w:rFonts w:ascii="Cambria" w:hAnsi="Cambria"/>
        </w:rPr>
        <w:t xml:space="preserve">: hojalata, acero libre de estaño (TFS) y aluminio, para tratamiento térmico.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Otros</w:t>
      </w:r>
      <w:r>
        <w:rPr>
          <w:rFonts w:ascii="Cambria" w:hAnsi="Cambria"/>
        </w:rPr>
        <w:t xml:space="preserve">: madera, textiles, cerámica o caucho.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Tecnologías avanzadas en MCA: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Envases activos</w:t>
      </w:r>
      <w:r>
        <w:rPr>
          <w:rFonts w:ascii="Cambria" w:hAnsi="Cambria"/>
        </w:rPr>
        <w:t xml:space="preserve">: absorbedores de oxígeno, reguladores de humedad, liberación antioxidante o antimicrobiana.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Envases inteligentes</w:t>
      </w:r>
      <w:r>
        <w:rPr>
          <w:rFonts w:ascii="Cambria" w:hAnsi="Cambria"/>
        </w:rPr>
        <w:t xml:space="preserve">: indicadores tiempo-temperatura (TTI) o sensores de frescura.</w:t>
      </w:r>
    </w:p>
    <w:p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>
        <w:rPr>
          <w:rFonts w:ascii="Cambria" w:hAnsi="Cambria"/>
          <w:b/>
          <w:bCs/>
          <w:color w:val="auto"/>
          <w:sz w:val="28"/>
          <w:szCs w:val="28"/>
        </w:rPr>
        <w:t xml:space="preserve">3. LEGISLACIÓN Y NORMALIZACIÓN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3.1. Materiales en contacto con alimentos (MCA)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Los MCA comprenden todo material en contacto directo o indirecto con alimentos, incluidos envases de bebida y redes de agua potable.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Deben ser suficientemente inertes para evitar migración de sustancias que dañen la salud o alteren la composición u organolépticas del alimento.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Norma pilar: </w:t>
      </w:r>
      <w:r>
        <w:rPr>
          <w:rFonts w:ascii="Cambria" w:hAnsi="Cambria"/>
          <w:b/>
          <w:bCs/>
        </w:rPr>
        <w:t xml:space="preserve">Reglamento (CE) 1935/2004</w:t>
      </w:r>
      <w:r>
        <w:rPr>
          <w:rFonts w:ascii="Cambria" w:hAnsi="Cambria"/>
        </w:rPr>
        <w:t xml:space="preserve">, sobre materiales y objetos en contacto con alimentos, modificado por el </w:t>
      </w:r>
      <w:r>
        <w:rPr>
          <w:rFonts w:ascii="Cambria" w:hAnsi="Cambria"/>
          <w:b/>
          <w:bCs/>
        </w:rPr>
        <w:t xml:space="preserve">Reglamento (UE) 2019/1381</w:t>
      </w:r>
      <w:r>
        <w:rPr>
          <w:rFonts w:ascii="Cambria" w:hAnsi="Cambria"/>
        </w:rPr>
        <w:t xml:space="preserve"> sobre transparencia y sostenibilidad de la evaluación del riesgo. Establece: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Requisitos generales de inocuidad (art. 3).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Requisitos especiales para envases activos e inteligentes (art. 4).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Normas de etiquetado, símbolo de "copa y tenedor" (art. 15).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Declaración de Conformidad y documentación de apoyo (art. 16).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Trazabilidad obligatoria en todas las etapas (art. 17).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Las Buenas Prácticas de Fabricación (BPF) se recogen en el </w:t>
      </w:r>
      <w:r>
        <w:rPr>
          <w:rFonts w:ascii="Cambria" w:hAnsi="Cambria"/>
          <w:b/>
          <w:bCs/>
        </w:rPr>
        <w:t xml:space="preserve">Reglamento (CE) 2023/2006</w:t>
      </w:r>
      <w:r>
        <w:rPr>
          <w:rFonts w:ascii="Cambria" w:hAnsi="Cambria"/>
        </w:rPr>
        <w:t xml:space="preserve">, y la </w:t>
      </w:r>
      <w:r>
        <w:rPr>
          <w:rFonts w:ascii="Cambria" w:hAnsi="Cambria"/>
          <w:b/>
          <w:bCs/>
        </w:rPr>
        <w:t xml:space="preserve">EFSA</w:t>
      </w:r>
      <w:r>
        <w:rPr>
          <w:rFonts w:ascii="Cambria" w:hAnsi="Cambria"/>
        </w:rPr>
        <w:t xml:space="preserve"> evalúa el riesgo científico.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Quedan fuera los recubrimientos comestibles que forman parte del alimento, pero sí se incluyen los de corteza de quesos, embutidos o ceras de frutas si no son de consumo.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En España, la normalización técnica se coordina a través de </w:t>
      </w:r>
      <w:r>
        <w:rPr>
          <w:rFonts w:ascii="Cambria" w:hAnsi="Cambria"/>
          <w:b/>
          <w:bCs/>
        </w:rPr>
        <w:t xml:space="preserve">UNE</w:t>
      </w:r>
      <w:r>
        <w:rPr>
          <w:rFonts w:ascii="Cambria" w:hAnsi="Cambria"/>
        </w:rPr>
        <w:t xml:space="preserve"> y sus Comités Técnicos de Normalización (CTN).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3.2. Residuos de envases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Norma central europea: </w:t>
      </w:r>
      <w:r>
        <w:rPr>
          <w:rFonts w:ascii="Cambria" w:hAnsi="Cambria"/>
          <w:b/>
          <w:bCs/>
        </w:rPr>
        <w:t xml:space="preserve">Reglamento (UE) 2025/40</w:t>
      </w:r>
      <w:r>
        <w:rPr>
          <w:rFonts w:ascii="Cambria" w:hAnsi="Cambria"/>
        </w:rPr>
        <w:t xml:space="preserve"> (PPWR), de aplicación directa e inmediata, que sustituye a la </w:t>
      </w:r>
      <w:r>
        <w:rPr>
          <w:rFonts w:ascii="Cambria" w:hAnsi="Cambria"/>
          <w:b/>
          <w:bCs/>
        </w:rPr>
        <w:t xml:space="preserve">Directiva 94/62/CE</w:t>
      </w:r>
      <w:r>
        <w:rPr>
          <w:rFonts w:ascii="Cambria" w:hAnsi="Cambria"/>
        </w:rPr>
        <w:t xml:space="preserve">. Requerimientos: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Ecodiseño y reciclabilidad obligatoria desde el </w:t>
      </w:r>
      <w:r>
        <w:rPr>
          <w:rFonts w:ascii="Cambria" w:hAnsi="Cambria"/>
          <w:b/>
          <w:bCs/>
        </w:rPr>
        <w:t xml:space="preserve">1 de enero de 2030</w:t>
      </w:r>
      <w:r>
        <w:rPr>
          <w:rFonts w:ascii="Cambria" w:hAnsi="Cambria"/>
        </w:rPr>
        <w:t xml:space="preserve">, con grados A, B o C.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Eliminación de envases superfluos, dobles paredes o falsos fondos.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Reducción de residuos del </w:t>
      </w:r>
      <w:r>
        <w:rPr>
          <w:rFonts w:ascii="Cambria" w:hAnsi="Cambria"/>
          <w:b/>
          <w:bCs/>
        </w:rPr>
        <w:t xml:space="preserve">5 %</w:t>
      </w:r>
      <w:r>
        <w:rPr>
          <w:rFonts w:ascii="Cambria" w:hAnsi="Cambria"/>
        </w:rPr>
        <w:t xml:space="preserve"> en 2030, </w:t>
      </w:r>
      <w:r>
        <w:rPr>
          <w:rFonts w:ascii="Cambria" w:hAnsi="Cambria"/>
          <w:b/>
          <w:bCs/>
        </w:rPr>
        <w:t xml:space="preserve">10 %</w:t>
      </w:r>
      <w:r>
        <w:rPr>
          <w:rFonts w:ascii="Cambria" w:hAnsi="Cambria"/>
        </w:rPr>
        <w:t xml:space="preserve"> en 2035 y </w:t>
      </w:r>
      <w:r>
        <w:rPr>
          <w:rFonts w:ascii="Cambria" w:hAnsi="Cambria"/>
          <w:b/>
          <w:bCs/>
        </w:rPr>
        <w:t xml:space="preserve">15 %</w:t>
      </w:r>
      <w:r>
        <w:rPr>
          <w:rFonts w:ascii="Cambria" w:hAnsi="Cambria"/>
        </w:rPr>
        <w:t xml:space="preserve"> en 2040 (base 2018).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En España, el </w:t>
      </w:r>
      <w:r>
        <w:rPr>
          <w:rFonts w:ascii="Cambria" w:hAnsi="Cambria"/>
          <w:b/>
          <w:bCs/>
        </w:rPr>
        <w:t xml:space="preserve">Real Decreto 1055/2022</w:t>
      </w:r>
      <w:r>
        <w:rPr>
          <w:rFonts w:ascii="Cambria" w:hAnsi="Cambria"/>
        </w:rPr>
        <w:t xml:space="preserve">, en el marco de la </w:t>
      </w:r>
      <w:r>
        <w:rPr>
          <w:rFonts w:ascii="Cambria" w:hAnsi="Cambria"/>
          <w:b/>
          <w:bCs/>
        </w:rPr>
        <w:t xml:space="preserve">Ley 7/2022</w:t>
      </w:r>
      <w:r>
        <w:rPr>
          <w:rFonts w:ascii="Cambria" w:hAnsi="Cambria"/>
        </w:rPr>
        <w:t xml:space="preserve"> de residuos y suelos contaminados. Introduce: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Responsabilidad Ampliada del Productor (RAP)</w:t>
      </w:r>
      <w:r>
        <w:rPr>
          <w:rFonts w:ascii="Cambria" w:hAnsi="Cambria"/>
        </w:rPr>
        <w:t xml:space="preserve">, para envases comerciales, industriales y domésticos.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Registro de Productores de Producto, con reporte periódico de toneladas puestas en el mercado.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Venta a granel obligatoria de frutas y hortalizas frescas (salvo lotes de </w:t>
      </w:r>
      <w:r>
        <w:rPr>
          <w:rFonts w:ascii="Cambria" w:hAnsi="Cambria"/>
          <w:b/>
          <w:bCs/>
        </w:rPr>
        <w:t xml:space="preserve">1,5 kg</w:t>
      </w:r>
      <w:r>
        <w:rPr>
          <w:rFonts w:ascii="Cambria" w:hAnsi="Cambria"/>
        </w:rPr>
        <w:t xml:space="preserve"> o más u otras excepciones), y destino de al menos el </w:t>
      </w:r>
      <w:r>
        <w:rPr>
          <w:rFonts w:ascii="Cambria" w:hAnsi="Cambria"/>
          <w:b/>
          <w:bCs/>
        </w:rPr>
        <w:t xml:space="preserve">20 %</w:t>
      </w:r>
      <w:r>
        <w:rPr>
          <w:rFonts w:ascii="Cambria" w:hAnsi="Cambria"/>
        </w:rPr>
        <w:t xml:space="preserve"> de la superficie de venta a productos sin embalaje primario en comercios de </w:t>
      </w:r>
      <w:r>
        <w:rPr>
          <w:rFonts w:ascii="Cambria" w:hAnsi="Cambria"/>
          <w:b/>
          <w:bCs/>
        </w:rPr>
        <w:t xml:space="preserve">400 m²</w:t>
      </w:r>
      <w:r>
        <w:rPr>
          <w:rFonts w:ascii="Cambria" w:hAnsi="Cambria"/>
        </w:rPr>
        <w:t xml:space="preserve"> o más.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Adaptación progresiva al PPWR.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La RAP se articula mediante Sistemas Colectivos (</w:t>
      </w:r>
      <w:r>
        <w:rPr>
          <w:rFonts w:ascii="Cambria" w:hAnsi="Cambria"/>
          <w:b/>
          <w:bCs/>
        </w:rPr>
        <w:t xml:space="preserve">SCRAP</w:t>
      </w:r>
      <w:r>
        <w:rPr>
          <w:rFonts w:ascii="Cambria" w:hAnsi="Cambria"/>
        </w:rPr>
        <w:t xml:space="preserve">) como </w:t>
      </w:r>
      <w:r>
        <w:rPr>
          <w:rFonts w:ascii="Cambria" w:hAnsi="Cambria"/>
          <w:b/>
          <w:bCs/>
        </w:rPr>
        <w:t xml:space="preserve">ECOEMBES</w:t>
      </w:r>
      <w:r>
        <w:rPr>
          <w:rFonts w:ascii="Cambria" w:hAnsi="Cambria"/>
        </w:rPr>
        <w:t xml:space="preserve">, </w:t>
      </w:r>
      <w:r>
        <w:rPr>
          <w:rFonts w:ascii="Cambria" w:hAnsi="Cambria"/>
          <w:b/>
          <w:bCs/>
        </w:rPr>
        <w:t xml:space="preserve">ECOVIDRIO</w:t>
      </w:r>
      <w:r>
        <w:rPr>
          <w:rFonts w:ascii="Cambria" w:hAnsi="Cambria"/>
        </w:rPr>
        <w:t xml:space="preserve">, </w:t>
      </w:r>
      <w:r>
        <w:rPr>
          <w:rFonts w:ascii="Cambria" w:hAnsi="Cambria"/>
          <w:b/>
          <w:bCs/>
        </w:rPr>
        <w:t xml:space="preserve">CICLOPLAST</w:t>
      </w:r>
      <w:r>
        <w:rPr>
          <w:rFonts w:ascii="Cambria" w:hAnsi="Cambria"/>
        </w:rPr>
        <w:t xml:space="preserve">, </w:t>
      </w:r>
      <w:r>
        <w:rPr>
          <w:rFonts w:ascii="Cambria" w:hAnsi="Cambria"/>
          <w:b/>
          <w:bCs/>
        </w:rPr>
        <w:t xml:space="preserve">IMPLICA</w:t>
      </w:r>
      <w:r>
        <w:rPr>
          <w:rFonts w:ascii="Cambria" w:hAnsi="Cambria"/>
        </w:rPr>
        <w:t xml:space="preserve"> o </w:t>
      </w:r>
      <w:r>
        <w:rPr>
          <w:rFonts w:ascii="Cambria" w:hAnsi="Cambria"/>
          <w:b/>
          <w:bCs/>
        </w:rPr>
        <w:t xml:space="preserve">VALORORA</w:t>
      </w:r>
      <w:r>
        <w:rPr>
          <w:rFonts w:ascii="Cambria" w:hAnsi="Cambria"/>
        </w:rPr>
        <w:t xml:space="preserve">, con equivalentes internacionales como el Sistema Dual alemán, ARA (Austria), Citéo (Francia) o Fost Plus (Bélgica).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La </w:t>
      </w:r>
      <w:r>
        <w:rPr>
          <w:rFonts w:ascii="Cambria" w:hAnsi="Cambria"/>
          <w:b/>
          <w:bCs/>
        </w:rPr>
        <w:t xml:space="preserve">Directiva (UE) 2019/904</w:t>
      </w:r>
      <w:r>
        <w:rPr>
          <w:rFonts w:ascii="Cambria" w:hAnsi="Cambria"/>
        </w:rPr>
        <w:t xml:space="preserve"> sobre plásticos de un solo uso (SUP) está integrada en la </w:t>
      </w:r>
      <w:r>
        <w:rPr>
          <w:rFonts w:ascii="Cambria" w:hAnsi="Cambria"/>
          <w:b/>
          <w:bCs/>
        </w:rPr>
        <w:t xml:space="preserve">Ley 7/2022</w:t>
      </w:r>
      <w:r>
        <w:rPr>
          <w:rFonts w:ascii="Cambria" w:hAnsi="Cambria"/>
        </w:rPr>
        <w:t xml:space="preserve"> y el </w:t>
      </w:r>
      <w:r>
        <w:rPr>
          <w:rFonts w:ascii="Cambria" w:hAnsi="Cambria"/>
          <w:b/>
          <w:bCs/>
        </w:rPr>
        <w:t xml:space="preserve">Real Decreto 1055/2022</w:t>
      </w:r>
      <w:r>
        <w:rPr>
          <w:rFonts w:ascii="Cambria" w:hAnsi="Cambria"/>
        </w:rPr>
        <w:t xml:space="preserve">, con prohibición de pajitas, cubiertos y poliestireno expandido, y el Impuesto especial sobre envases de plástico no reutilizables.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Se enmarcan en la Estrategia España Circular 2030, con metas para 2030: reducción del </w:t>
      </w:r>
      <w:r>
        <w:rPr>
          <w:rFonts w:ascii="Cambria" w:hAnsi="Cambria"/>
          <w:b/>
          <w:bCs/>
        </w:rPr>
        <w:t xml:space="preserve">30 %</w:t>
      </w:r>
      <w:r>
        <w:rPr>
          <w:rFonts w:ascii="Cambria" w:hAnsi="Cambria"/>
        </w:rPr>
        <w:t xml:space="preserve"> de consumo de materiales respecto al PIB, </w:t>
      </w:r>
      <w:r>
        <w:rPr>
          <w:rFonts w:ascii="Cambria" w:hAnsi="Cambria"/>
          <w:b/>
          <w:bCs/>
        </w:rPr>
        <w:t xml:space="preserve">15 %</w:t>
      </w:r>
      <w:r>
        <w:rPr>
          <w:rFonts w:ascii="Cambria" w:hAnsi="Cambria"/>
        </w:rPr>
        <w:t xml:space="preserve"> en generación de residuos, </w:t>
      </w:r>
      <w:r>
        <w:rPr>
          <w:rFonts w:ascii="Cambria" w:hAnsi="Cambria"/>
          <w:b/>
          <w:bCs/>
        </w:rPr>
        <w:t xml:space="preserve">50 %/20 %</w:t>
      </w:r>
      <w:r>
        <w:rPr>
          <w:rFonts w:ascii="Cambria" w:hAnsi="Cambria"/>
        </w:rPr>
        <w:t xml:space="preserve"> de desperdicio alimentario (hogares/cadena) y </w:t>
      </w:r>
      <w:r>
        <w:rPr>
          <w:rFonts w:ascii="Cambria" w:hAnsi="Cambria"/>
          <w:b/>
          <w:bCs/>
        </w:rPr>
        <w:t xml:space="preserve">10 %</w:t>
      </w:r>
      <w:r>
        <w:rPr>
          <w:rFonts w:ascii="Cambria" w:hAnsi="Cambria"/>
        </w:rPr>
        <w:t xml:space="preserve"> de reutilización en residuos municipales.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3.3. Otras disposiciones de normalización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Directiva 2007/45/CE</w:t>
      </w:r>
      <w:r>
        <w:rPr>
          <w:rFonts w:ascii="Cambria" w:hAnsi="Cambria"/>
        </w:rPr>
        <w:t xml:space="preserve">: liberaliza tamaños nominales, salvo gamas obligatorias para vinos y bebidas espirituosas.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Reglamento (CE) 1272/2008</w:t>
      </w:r>
      <w:r>
        <w:rPr>
          <w:rFonts w:ascii="Cambria" w:hAnsi="Cambria"/>
        </w:rPr>
        <w:t xml:space="preserve"> (CLP): clasificación, etiquetado y envasado de sustancias y mezclas peligrosas.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Normativa sobre contenido efectivo y marcado "e".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Código CODEX Alimentarius: prácticas de envasado y transporte de frutas y hortalizas tropicales frescas.</w:t>
      </w:r>
    </w:p>
    <w:p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>
        <w:rPr>
          <w:rFonts w:ascii="Cambria" w:hAnsi="Cambria"/>
          <w:b/>
          <w:bCs/>
          <w:color w:val="auto"/>
          <w:sz w:val="28"/>
          <w:szCs w:val="28"/>
        </w:rPr>
        <w:t xml:space="preserve">4. INTERACCIONES PRODUCTO-ENVASE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Según el Código Alimentario Español, todo material en contacto con alimentos debe estar fabricado con materias primas de listas positivas, ser impermeable y hermético, no absorber producto, no ceder sustancias extrañas y cumplir los límites de migración.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La migración es la transferencia de sustancias desde el envase al alimento por fenómenos físico-químicos.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Metales</w:t>
      </w:r>
      <w:r>
        <w:rPr>
          <w:rFonts w:ascii="Cambria" w:hAnsi="Cambria"/>
        </w:rPr>
        <w:t xml:space="preserve">: hojalata, TFS y aluminio, con riesgo de corrosión ácida (abombamiento) y cesión de hierro/estaño, prevenido con barnices epoxídicos.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Vidrio</w:t>
      </w:r>
      <w:r>
        <w:rPr>
          <w:rFonts w:ascii="Cambria" w:hAnsi="Cambria"/>
        </w:rPr>
        <w:t xml:space="preserve">: inerte, aunque puede ceder iones de fundentes colorantes.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Plásticos</w:t>
      </w:r>
      <w:r>
        <w:rPr>
          <w:rFonts w:ascii="Cambria" w:hAnsi="Cambria"/>
        </w:rPr>
        <w:t xml:space="preserve">: riesgo de migración de monómeros y aditivos, regulados por el </w:t>
      </w:r>
      <w:r>
        <w:rPr>
          <w:rFonts w:ascii="Cambria" w:hAnsi="Cambria"/>
          <w:b/>
          <w:bCs/>
        </w:rPr>
        <w:t xml:space="preserve">Reglamento (UE) 10/2011</w:t>
      </w:r>
      <w:r>
        <w:rPr>
          <w:rFonts w:ascii="Cambria" w:hAnsi="Cambria"/>
        </w:rPr>
        <w:t xml:space="preserve">, con: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Lista positiva de sustancias autorizadas.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Límite de Migración Global (</w:t>
      </w:r>
      <w:r>
        <w:rPr>
          <w:rFonts w:ascii="Cambria" w:hAnsi="Cambria"/>
          <w:b/>
          <w:bCs/>
        </w:rPr>
        <w:t xml:space="preserve">LMG</w:t>
      </w:r>
      <w:r>
        <w:rPr>
          <w:rFonts w:ascii="Cambria" w:hAnsi="Cambria"/>
        </w:rPr>
        <w:t xml:space="preserve">), fijado en </w:t>
      </w:r>
      <w:r>
        <w:rPr>
          <w:rFonts w:ascii="Cambria" w:hAnsi="Cambria"/>
          <w:b/>
          <w:bCs/>
        </w:rPr>
        <w:t xml:space="preserve">10 mg/dm2</w:t>
      </w:r>
      <w:r>
        <w:rPr>
          <w:rFonts w:ascii="Cambria" w:hAnsi="Cambria"/>
        </w:rPr>
        <w:t xml:space="preserve"> de superficie de contacto.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Límites de Migración Específica (</w:t>
      </w:r>
      <w:r>
        <w:rPr>
          <w:rFonts w:ascii="Cambria" w:hAnsi="Cambria"/>
          <w:b/>
          <w:bCs/>
        </w:rPr>
        <w:t xml:space="preserve">LME</w:t>
      </w:r>
      <w:r>
        <w:rPr>
          <w:rFonts w:ascii="Cambria" w:hAnsi="Cambria"/>
        </w:rPr>
        <w:t xml:space="preserve">), en mg/kg de alimento.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Plástico reciclado: </w:t>
      </w:r>
      <w:r>
        <w:rPr>
          <w:rFonts w:ascii="Cambria" w:hAnsi="Cambria"/>
          <w:b/>
          <w:bCs/>
        </w:rPr>
        <w:t xml:space="preserve">Reglamento (UE) 2022/1616</w:t>
      </w:r>
      <w:r>
        <w:rPr>
          <w:rFonts w:ascii="Cambria" w:hAnsi="Cambria"/>
        </w:rPr>
        <w:t xml:space="preserve">, sobre tecnologías de descontaminación.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Derivados epoxídicos: el </w:t>
      </w:r>
      <w:r>
        <w:rPr>
          <w:rFonts w:ascii="Cambria" w:hAnsi="Cambria"/>
          <w:b/>
          <w:bCs/>
        </w:rPr>
        <w:t xml:space="preserve">Reglamento (CE) 1895/2005</w:t>
      </w:r>
      <w:r>
        <w:rPr>
          <w:rFonts w:ascii="Cambria" w:hAnsi="Cambria"/>
        </w:rPr>
        <w:t xml:space="preserve"> prohíbe el BFDGE y el NOGE, mientras el BADGE queda autorizado con límites.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Cerámica</w:t>
      </w:r>
      <w:r>
        <w:rPr>
          <w:rFonts w:ascii="Cambria" w:hAnsi="Cambria"/>
        </w:rPr>
        <w:t xml:space="preserve">: riesgo de cesión de plomo y cadmio, regulado por la </w:t>
      </w:r>
      <w:r>
        <w:rPr>
          <w:rFonts w:ascii="Cambria" w:hAnsi="Cambria"/>
          <w:b/>
          <w:bCs/>
        </w:rPr>
        <w:t xml:space="preserve">Directiva 84/500/CEE</w:t>
      </w:r>
      <w:r>
        <w:rPr>
          <w:rFonts w:ascii="Cambria" w:hAnsi="Cambria"/>
        </w:rPr>
        <w:t xml:space="preserve"> y, a nivel nacional, por el </w:t>
      </w:r>
      <w:r>
        <w:rPr>
          <w:rFonts w:ascii="Cambria" w:hAnsi="Cambria"/>
          <w:b/>
          <w:bCs/>
        </w:rPr>
        <w:t xml:space="preserve">Real Decreto 891/2006</w:t>
      </w:r>
      <w:r>
        <w:rPr>
          <w:rFonts w:ascii="Cambria" w:hAnsi="Cambria"/>
        </w:rPr>
        <w:t xml:space="preserve">, con límites y declaración de conformidad obligatoria.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Maderas, cartón y celulosa</w:t>
      </w:r>
      <w:r>
        <w:rPr>
          <w:rFonts w:ascii="Cambria" w:hAnsi="Cambria"/>
        </w:rPr>
        <w:t xml:space="preserve">: riesgo por tratamientos químicos, regulado por la </w:t>
      </w:r>
      <w:r>
        <w:rPr>
          <w:rFonts w:ascii="Cambria" w:hAnsi="Cambria"/>
          <w:b/>
          <w:bCs/>
        </w:rPr>
        <w:t xml:space="preserve">Directiva 2007/42/CE</w:t>
      </w:r>
      <w:r>
        <w:rPr>
          <w:rFonts w:ascii="Cambria" w:hAnsi="Cambria"/>
        </w:rPr>
        <w:t xml:space="preserve"> para celulosa regenerada y, en España, por el </w:t>
      </w:r>
      <w:r>
        <w:rPr>
          <w:rFonts w:ascii="Cambria" w:hAnsi="Cambria"/>
          <w:b/>
          <w:bCs/>
        </w:rPr>
        <w:t xml:space="preserve">Real Decreto 1413/1994</w:t>
      </w:r>
      <w:r>
        <w:rPr>
          <w:rFonts w:ascii="Cambria" w:hAnsi="Cambria"/>
        </w:rPr>
        <w:t xml:space="preserve">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Caucho</w:t>
      </w:r>
      <w:r>
        <w:rPr>
          <w:rFonts w:ascii="Cambria" w:hAnsi="Cambria"/>
        </w:rPr>
        <w:t xml:space="preserve">: riesgo de N-nitrosaminas en tetinas y chupetes, regulado por la </w:t>
      </w:r>
      <w:r>
        <w:rPr>
          <w:rFonts w:ascii="Cambria" w:hAnsi="Cambria"/>
          <w:b/>
          <w:bCs/>
        </w:rPr>
        <w:t xml:space="preserve">Directiva 93/11/CEE</w:t>
      </w:r>
      <w:r>
        <w:rPr>
          <w:rFonts w:ascii="Cambria" w:hAnsi="Cambria"/>
        </w:rPr>
        <w:t xml:space="preserve">, transpuesta por el </w:t>
      </w:r>
      <w:r>
        <w:rPr>
          <w:rFonts w:ascii="Cambria" w:hAnsi="Cambria"/>
          <w:b/>
          <w:bCs/>
        </w:rPr>
        <w:t xml:space="preserve">Real Decreto 1184/1994</w:t>
      </w:r>
      <w:r>
        <w:rPr>
          <w:rFonts w:ascii="Cambria" w:hAnsi="Cambria"/>
        </w:rPr>
        <w:t xml:space="preserve">.</w:t>
      </w:r>
    </w:p>
    <w:p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>
        <w:rPr>
          <w:rFonts w:ascii="Cambria" w:hAnsi="Cambria"/>
          <w:b/>
          <w:bCs/>
          <w:color w:val="auto"/>
          <w:sz w:val="28"/>
          <w:szCs w:val="28"/>
        </w:rPr>
        <w:t xml:space="preserve">5. ENSAYOS Y DEFECTOS. PROCEDIMIENTOS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Se controlan las características intrínsecas y extrínsecas mediante ensayos físico-químicos y mecánicos.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Envases flexibles</w:t>
      </w:r>
      <w:r>
        <w:rPr>
          <w:rFonts w:ascii="Cambria" w:hAnsi="Cambria"/>
        </w:rPr>
        <w:t xml:space="preserve">: propiedades de barrera (impermeabilidad, conductividad) y propiedades ópticas (impresión, brillo, resistencia a abrasión).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Envases metálicos</w:t>
      </w:r>
      <w:r>
        <w:rPr>
          <w:rFonts w:ascii="Cambria" w:hAnsi="Cambria"/>
        </w:rPr>
        <w:t xml:space="preserve">: propiedades mecánicas, geométricas, conductividad, integridad del barniz y resistencia a la corrosión.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Envases de vidrio</w:t>
      </w:r>
      <w:r>
        <w:rPr>
          <w:rFonts w:ascii="Cambria" w:hAnsi="Cambria"/>
        </w:rPr>
        <w:t xml:space="preserve">: hermeticidad, resistencia térmica y mecánica, inercia frente a óxidos, densidad y microdureza.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Defectos críticos destacados: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Cesión de metales pesados (plomo, cadmio) o sílice.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Defectos en maderas y papel, tratamientos no autorizados u olores extraños.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Defectos en plásticos, coloración no uniforme, sellado defectuoso o permeabilidad excesiva.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Defectos en metálicos, oquedades, fisuras o corrosión.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Incumplimientos de etiquetado, impresión interna sin barrera, menciones engañosas o desviaciones de peso neto.</w:t>
      </w:r>
    </w:p>
    <w:p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>
        <w:rPr>
          <w:rFonts w:ascii="Cambria" w:hAnsi="Cambria"/>
          <w:b/>
          <w:bCs/>
          <w:color w:val="auto"/>
          <w:sz w:val="28"/>
          <w:szCs w:val="28"/>
        </w:rPr>
        <w:t xml:space="preserve">6. IMPLICACIONES COMERCIALES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Los envases, tras su función protectora, se integran en los residuos sólidos urbanos (RSU), un reto ambiental y punto de tensión entre libre comercio y protección ambiental.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El Decreto Töpfer alemán de 1991 originó un efecto dominó que derivó en la </w:t>
      </w:r>
      <w:r>
        <w:rPr>
          <w:rFonts w:ascii="Cambria" w:hAnsi="Cambria"/>
          <w:b/>
          <w:bCs/>
        </w:rPr>
        <w:t xml:space="preserve">Directiva 94/62/CE</w:t>
      </w:r>
      <w:r>
        <w:rPr>
          <w:rFonts w:ascii="Cambria" w:hAnsi="Cambria"/>
        </w:rPr>
        <w:t xml:space="preserve">, hoy sustituida por el </w:t>
      </w:r>
      <w:r>
        <w:rPr>
          <w:rFonts w:ascii="Cambria" w:hAnsi="Cambria"/>
          <w:b/>
          <w:bCs/>
        </w:rPr>
        <w:t xml:space="preserve">Reglamento (UE) 2025/40</w:t>
      </w:r>
      <w:r>
        <w:rPr>
          <w:rFonts w:ascii="Cambria" w:hAnsi="Cambria"/>
        </w:rPr>
        <w:t xml:space="preserve">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La regulación afecta a la competitividad industrial y los costes logísticos, evitando barreras encubiertas al comercio.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El </w:t>
      </w:r>
      <w:r>
        <w:rPr>
          <w:rFonts w:ascii="Cambria" w:hAnsi="Cambria"/>
          <w:b/>
          <w:bCs/>
        </w:rPr>
        <w:t xml:space="preserve">Real Decreto 1055/2022</w:t>
      </w:r>
      <w:r>
        <w:rPr>
          <w:rFonts w:ascii="Cambria" w:hAnsi="Cambria"/>
        </w:rPr>
        <w:t xml:space="preserve"> y el </w:t>
      </w:r>
      <w:r>
        <w:rPr>
          <w:rFonts w:ascii="Cambria" w:hAnsi="Cambria"/>
          <w:b/>
          <w:bCs/>
        </w:rPr>
        <w:t xml:space="preserve">Reglamento (UE) 2025/40</w:t>
      </w:r>
      <w:r>
        <w:rPr>
          <w:rFonts w:ascii="Cambria" w:hAnsi="Cambria"/>
        </w:rPr>
        <w:t xml:space="preserve"> generalizan la RAP y los SCRAP, con definiciones estándar y criterios homogéneos de reutilización y reciclabilidad.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La estrategia de economía circular busca reducir el vertido, maximizar la valorización y el reciclado, y reducir emisiones de gases de efecto invernadero.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Se promueve el ecodiseño y los materiales compostables bajo normas como la </w:t>
      </w:r>
      <w:r>
        <w:rPr>
          <w:rFonts w:ascii="Cambria" w:hAnsi="Cambria"/>
          <w:b/>
          <w:bCs/>
        </w:rPr>
        <w:t xml:space="preserve">UNE-EN 13432</w:t>
      </w:r>
      <w:r>
        <w:rPr>
          <w:rFonts w:ascii="Cambria" w:hAnsi="Cambria"/>
        </w:rPr>
        <w:t xml:space="preserve">, y se prohíben los plásticos oxodegradables por la Directiva SUP y la </w:t>
      </w:r>
      <w:r>
        <w:rPr>
          <w:rFonts w:ascii="Cambria" w:hAnsi="Cambria"/>
          <w:b/>
          <w:bCs/>
        </w:rPr>
        <w:t xml:space="preserve">Ley 7/2022</w:t>
      </w:r>
      <w:r>
        <w:rPr>
          <w:rFonts w:ascii="Cambria" w:hAnsi="Cambria"/>
        </w:rPr>
        <w:t xml:space="preserve">.</w:t>
      </w:r>
    </w:p>
    <w:p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>
        <w:rPr>
          <w:rFonts w:ascii="Cambria" w:hAnsi="Cambria"/>
          <w:b/>
          <w:bCs/>
          <w:color w:val="auto"/>
          <w:sz w:val="28"/>
          <w:szCs w:val="28"/>
        </w:rPr>
        <w:t xml:space="preserve">7. CONCLUSIÓN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Los envases y embalajes confluyen en tres pilares, la protección del alimento, la garantía de inocuidad mediante el control de la migración bajo el </w:t>
      </w:r>
      <w:r>
        <w:rPr>
          <w:rFonts w:ascii="Cambria" w:hAnsi="Cambria"/>
          <w:b/>
          <w:bCs/>
        </w:rPr>
        <w:t xml:space="preserve">Reglamento (CE) 1935/2004</w:t>
      </w:r>
      <w:r>
        <w:rPr>
          <w:rFonts w:ascii="Cambria" w:hAnsi="Cambria"/>
        </w:rPr>
        <w:t xml:space="preserve"> y el </w:t>
      </w:r>
      <w:r>
        <w:rPr>
          <w:rFonts w:ascii="Cambria" w:hAnsi="Cambria"/>
          <w:b/>
          <w:bCs/>
        </w:rPr>
        <w:t xml:space="preserve">Reglamento (UE) 10/2011</w:t>
      </w:r>
      <w:r>
        <w:rPr>
          <w:rFonts w:ascii="Cambria" w:hAnsi="Cambria"/>
        </w:rPr>
        <w:t xml:space="preserve">, y la gestión ambiental tras el </w:t>
      </w:r>
      <w:r>
        <w:rPr>
          <w:rFonts w:ascii="Cambria" w:hAnsi="Cambria"/>
          <w:b/>
          <w:bCs/>
        </w:rPr>
        <w:t xml:space="preserve">Reglamento (UE) 2025/40</w:t>
      </w:r>
      <w:r>
        <w:rPr>
          <w:rFonts w:ascii="Cambria" w:hAnsi="Cambria"/>
        </w:rPr>
        <w:t xml:space="preserve"> y el </w:t>
      </w:r>
      <w:r>
        <w:rPr>
          <w:rFonts w:ascii="Cambria" w:hAnsi="Cambria"/>
          <w:b/>
          <w:bCs/>
        </w:rPr>
        <w:t xml:space="preserve">Real Decreto 1055/2022</w:t>
      </w:r>
      <w:r>
        <w:rPr>
          <w:rFonts w:ascii="Cambria" w:hAnsi="Cambria"/>
        </w:rPr>
        <w:t xml:space="preserve">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La evolución hacia reglamentos de aplicación directa frente a directivas asegura armonización uniforme en los 27 Estados Miembros.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Para el Servicio de Inspección SOIVRE, el conocimiento de este doble marco, seguridad del envase (MCA) y calidad comercial, etiquetado y sostenibilidad ambiental, resulta imprescindible para el control del comercio exterior agroalimentario.</w:t>
      </w:r>
    </w:p>
    <w:sectPr w:rsidR="00A65383" w:rsidRPr="007114D7">
      <w:footerReference w:type="default" r:id="rId900"/>
      <w:headerReference w:type="default" r:id="rId7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43E737" w14:textId="77777777" w:rsidR="00F85B76" w:rsidRDefault="00F85B76" w:rsidP="00F85B76">
      <w:pPr>
        <w:spacing w:after="0" w:line="240" w:lineRule="auto"/>
      </w:pPr>
      <w:r>
        <w:separator/>
      </w:r>
    </w:p>
  </w:endnote>
  <w:endnote w:type="continuationSeparator" w:id="0">
    <w:p w14:paraId="147C91B0" w14:textId="77777777" w:rsidR="00F85B76" w:rsidRDefault="00F85B76" w:rsidP="00F85B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</w:fonts>
</file>

<file path=word/footer1.xml><?xml version="1.0" encoding="utf-8"?>
<w:ftr xmlns:w="http://schemas.openxmlformats.org/wordprocessingml/2006/main">
  <w:p>
    <w:pPr>
      <w:pStyle w:val="Piedepgina"/>
      <w:jc w:val="center"/>
      <w:rPr>
        <w:rFonts w:ascii="Palatino Linotype" w:eastAsia="Palatino Linotype" w:hAnsi="Palatino Linotype" w:cs="Palatino Linotype"/>
        <w:b/>
        <w:bCs/>
        <w:color w:val="000000"/>
        <w:sz w:val="24"/>
        <w:szCs w:val="24"/>
      </w:rPr>
    </w:pPr>
    <w:r>
      <w:rPr>
        <w:rFonts w:ascii="Palatino Linotype" w:eastAsia="Palatino Linotype" w:hAnsi="Palatino Linotype" w:cs="Palatino Linotype"/>
        <w:b/>
        <w:bCs/>
        <w:color w:val="000000"/>
        <w:sz w:val="24"/>
        <w:szCs w:val="24"/>
      </w:rPr>
      <w:t>SERGIO ARGUDO SANTIAGO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8BA500" w14:textId="77777777" w:rsidR="00F85B76" w:rsidRDefault="00F85B76" w:rsidP="00F85B76">
      <w:pPr>
        <w:spacing w:after="0" w:line="240" w:lineRule="auto"/>
      </w:pPr>
      <w:r>
        <w:separator/>
      </w:r>
    </w:p>
  </w:footnote>
  <w:footnote w:type="continuationSeparator" w:id="0">
    <w:p w14:paraId="5EBB74E5" w14:textId="77777777" w:rsidR="00F85B76" w:rsidRDefault="00F85B76" w:rsidP="00F85B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>
    <w:pPr>
      <w:pStyle w:val="Encabezado"/>
      <w:jc w:val="both"/>
      <w:rPr>
        <w:rFonts w:ascii="Palatino Linotype" w:hAnsi="Palatino Linotype"/>
        <w:i/>
        <w:iCs/>
      </w:rPr>
    </w:pPr>
    <w:r>
      <w:rPr>
        <w:rFonts w:ascii="Palatino Linotype" w:hAnsi="Palatino Linotype"/>
        <w:i/>
        <w:iCs/>
      </w:rPr>
      <w:t xml:space="preserve">TEMA 52 – Envases y embalajes. Legislación y normalización. Materiales en contacto con los alimentos. Interacciones producto-envase. Ensayos y defectos. Procedimientos de control. Legislación europea sobre residuos de envases. Implicaciones comerciales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C82A5E"/>
    <w:multiLevelType w:val="multilevel"/>
    <w:tmpl w:val="17686D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6BA086D"/>
    <w:multiLevelType w:val="multilevel"/>
    <w:tmpl w:val="C63689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A764527"/>
    <w:multiLevelType w:val="multilevel"/>
    <w:tmpl w:val="4484D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9B9671D"/>
    <w:multiLevelType w:val="multilevel"/>
    <w:tmpl w:val="FF7AB4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D145E70"/>
    <w:multiLevelType w:val="multilevel"/>
    <w:tmpl w:val="4CF847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8082AA3"/>
    <w:multiLevelType w:val="multilevel"/>
    <w:tmpl w:val="E6004A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FE72879"/>
    <w:multiLevelType w:val="multilevel"/>
    <w:tmpl w:val="C3DA2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09A5A7F"/>
    <w:multiLevelType w:val="multilevel"/>
    <w:tmpl w:val="EE3633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6890683"/>
    <w:multiLevelType w:val="multilevel"/>
    <w:tmpl w:val="F0EAD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33F2D55"/>
    <w:multiLevelType w:val="multilevel"/>
    <w:tmpl w:val="BCE41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AAC63FF"/>
    <w:multiLevelType w:val="multilevel"/>
    <w:tmpl w:val="10A62D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C9A721B"/>
    <w:multiLevelType w:val="multilevel"/>
    <w:tmpl w:val="9654A2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7E9D13DD"/>
    <w:multiLevelType w:val="multilevel"/>
    <w:tmpl w:val="88A6E9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62984031">
    <w:abstractNumId w:val="7"/>
  </w:num>
  <w:num w:numId="2" w16cid:durableId="936329550">
    <w:abstractNumId w:val="4"/>
  </w:num>
  <w:num w:numId="3" w16cid:durableId="11223434">
    <w:abstractNumId w:val="0"/>
  </w:num>
  <w:num w:numId="4" w16cid:durableId="1698307743">
    <w:abstractNumId w:val="12"/>
  </w:num>
  <w:num w:numId="5" w16cid:durableId="1213886216">
    <w:abstractNumId w:val="11"/>
  </w:num>
  <w:num w:numId="6" w16cid:durableId="1037045334">
    <w:abstractNumId w:val="6"/>
  </w:num>
  <w:num w:numId="7" w16cid:durableId="638070075">
    <w:abstractNumId w:val="3"/>
  </w:num>
  <w:num w:numId="8" w16cid:durableId="616715768">
    <w:abstractNumId w:val="10"/>
  </w:num>
  <w:num w:numId="9" w16cid:durableId="1616985504">
    <w:abstractNumId w:val="9"/>
  </w:num>
  <w:num w:numId="10" w16cid:durableId="1055738181">
    <w:abstractNumId w:val="8"/>
  </w:num>
  <w:num w:numId="11" w16cid:durableId="928273277">
    <w:abstractNumId w:val="1"/>
  </w:num>
  <w:num w:numId="12" w16cid:durableId="919099836">
    <w:abstractNumId w:val="2"/>
  </w:num>
  <w:num w:numId="13" w16cid:durableId="52247863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5B76"/>
    <w:rsid w:val="00457D88"/>
    <w:rsid w:val="005803BC"/>
    <w:rsid w:val="00600D28"/>
    <w:rsid w:val="00656837"/>
    <w:rsid w:val="006A0D39"/>
    <w:rsid w:val="007114D7"/>
    <w:rsid w:val="00975640"/>
    <w:rsid w:val="00A65383"/>
    <w:rsid w:val="00A8675C"/>
    <w:rsid w:val="00BB1DEC"/>
    <w:rsid w:val="00C12CFD"/>
    <w:rsid w:val="00D45530"/>
    <w:rsid w:val="00E15422"/>
    <w:rsid w:val="00E7657A"/>
    <w:rsid w:val="00EE6C5F"/>
    <w:rsid w:val="00F85B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DAF6C1"/>
  <w15:chartTrackingRefBased/>
  <w15:docId w15:val="{B64D109C-3694-4C93-A841-AE8DEB4F80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F85B7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85B7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F85B7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85B7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85B7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85B7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85B7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85B7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85B7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A8675C"/>
    <w:pPr>
      <w:ind w:left="720"/>
      <w:contextualSpacing/>
    </w:pPr>
  </w:style>
  <w:style w:type="character" w:customStyle="1" w:styleId="Ttulo1Car">
    <w:name w:val="Título 1 Car"/>
    <w:basedOn w:val="Fuentedeprrafopredeter"/>
    <w:link w:val="Ttulo1"/>
    <w:uiPriority w:val="9"/>
    <w:rsid w:val="00F85B7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F85B7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F85B7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85B7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85B76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85B7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85B7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85B7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85B7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F85B7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F85B7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F85B7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F85B7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F85B7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F85B76"/>
    <w:rPr>
      <w:i/>
      <w:iCs/>
      <w:color w:val="404040" w:themeColor="text1" w:themeTint="BF"/>
    </w:rPr>
  </w:style>
  <w:style w:type="character" w:styleId="nfasisintenso">
    <w:name w:val="Intense Emphasis"/>
    <w:basedOn w:val="Fuentedeprrafopredeter"/>
    <w:uiPriority w:val="21"/>
    <w:qFormat/>
    <w:rsid w:val="00F85B76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85B7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85B76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F85B76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F85B7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F85B76"/>
  </w:style>
  <w:style w:type="paragraph" w:styleId="Piedepgina">
    <w:name w:val="footer"/>
    <w:basedOn w:val="Normal"/>
    <w:link w:val="PiedepginaCar"/>
    <w:uiPriority w:val="99"/>
    <w:unhideWhenUsed/>
    <w:rsid w:val="00F85B7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F85B7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Relationship Id="rId90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6</Pages>
  <Words>1112</Words>
  <Characters>6119</Characters>
  <Application>Microsoft Office Word</Application>
  <DocSecurity>0</DocSecurity>
  <Lines>50</Lines>
  <Paragraphs>14</Paragraphs>
  <ScaleCrop>false</ScaleCrop>
  <Company/>
  <LinksUpToDate>false</LinksUpToDate>
  <CharactersWithSpaces>7217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Argudo Santiago, Sergio</dc:creator>
  <cp:keywords/>
  <dc:description/>
  <cp:lastModifiedBy>Argudo Santiago, Sergio</cp:lastModifiedBy>
  <cp:revision>9</cp:revision>
  <dcterms:created xsi:type="dcterms:W3CDTF">2025-11-21T17:54:00Z</dcterms:created>
  <dcterms:modified xsi:type="dcterms:W3CDTF">2026-01-14T14:24:00Z</dcterms:modified>
</cp:coreProperties>
</file>