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jc w:val="both"/>
        <w:rPr>
          <w:rFonts w:ascii="Cambria" w:hAnsi="Cambria"/>
          <w:b/>
          <w:bCs/>
          <w:color w:val="auto"/>
          <w:sz w:val="28"/>
          <w:szCs w:val="28"/>
        </w:rPr>
      </w:pPr>
      <w:r>
        <w:rPr>
          <w:rFonts w:ascii="Cambria" w:hAnsi="Cambria"/>
          <w:b/>
          <w:bCs/>
          <w:color w:val="auto"/>
          <w:sz w:val="28"/>
          <w:szCs w:val="28"/>
        </w:rPr>
        <w:t xml:space="preserve">1. INTRODUCCIÓN</w:t>
      </w:r>
    </w:p>
    <w:p>
      <w:pPr>
        <w:numPr>
          <w:ilvl w:val="0"/>
          <w:numId w:val="1"/>
        </w:numPr>
        <w:jc w:val="both"/>
        <w:rPr>
          <w:rFonts w:ascii="Cambria" w:hAnsi="Cambria"/>
        </w:rPr>
      </w:pPr>
      <w:r>
        <w:rPr>
          <w:rFonts w:ascii="Cambria" w:hAnsi="Cambria"/>
        </w:rPr>
        <w:t xml:space="preserve">Las enfermedades de transmisión alimentaria generan un impacto directo en la salud pública y la economía, con pérdidas comerciales y pérdida de confianza en el mercado</w:t>
      </w:r>
    </w:p>
    <w:p>
      <w:pPr>
        <w:numPr>
          <w:ilvl w:val="0"/>
          <w:numId w:val="1"/>
        </w:numPr>
        <w:jc w:val="both"/>
        <w:rPr>
          <w:rFonts w:ascii="Cambria" w:hAnsi="Cambria"/>
        </w:rPr>
      </w:pPr>
      <w:r>
        <w:rPr>
          <w:rFonts w:ascii="Cambria" w:hAnsi="Cambria"/>
        </w:rPr>
        <w:t xml:space="preserve">El incremento del comercio internacional y de los desplazamientos acelera la propagación de peligros sanitarios y ha impulsado nuevas tecnologías de producción y distribución</w:t>
      </w:r>
    </w:p>
    <w:p>
      <w:pPr>
        <w:numPr>
          <w:ilvl w:val="0"/>
          <w:numId w:val="1"/>
        </w:numPr>
        <w:jc w:val="both"/>
        <w:rPr>
          <w:rFonts w:ascii="Cambria" w:hAnsi="Cambria"/>
        </w:rPr>
      </w:pPr>
      <w:r>
        <w:rPr>
          <w:rFonts w:ascii="Cambria" w:hAnsi="Cambria"/>
        </w:rPr>
        <w:t xml:space="preserve">La gestión de la higiene en la cadena alimentaria descansa en tres pilares: los gobiernos (políticas públicas), la industria (transporte, conservación, etiquetado) y los consumidores (prácticas higiénicas)</w:t>
      </w:r>
    </w:p>
    <w:p>
      <w:pPr>
        <w:numPr>
          <w:ilvl w:val="0"/>
          <w:numId w:val="1"/>
        </w:numPr>
        <w:jc w:val="both"/>
        <w:rPr>
          <w:rFonts w:ascii="Cambria" w:hAnsi="Cambria"/>
        </w:rPr>
      </w:pPr>
      <w:r>
        <w:rPr>
          <w:rFonts w:ascii="Cambria" w:hAnsi="Cambria"/>
        </w:rPr>
        <w:t xml:space="preserve">El </w:t>
      </w:r>
      <w:r>
        <w:rPr>
          <w:rFonts w:ascii="Cambria" w:hAnsi="Cambria"/>
          <w:b/>
          <w:bCs/>
        </w:rPr>
        <w:t xml:space="preserve">Sistema de Análisis de Peligros y Puntos Críticos de Control (HACCP / APPCC)</w:t>
      </w:r>
      <w:r>
        <w:rPr>
          <w:rFonts w:ascii="Cambria" w:hAnsi="Cambria"/>
        </w:rPr>
        <w:t xml:space="preserve"> es el estándar preventivo por excelencia, con enfoque científico para identificar, evaluar y controlar peligros microbiológicos, químicos y físicos</w:t>
      </w:r>
    </w:p>
    <w:p>
      <w:pPr>
        <w:pStyle w:val="Ttulo1"/>
        <w:jc w:val="both"/>
        <w:rPr>
          <w:rFonts w:ascii="Cambria" w:hAnsi="Cambria"/>
          <w:b/>
          <w:bCs/>
          <w:color w:val="auto"/>
          <w:sz w:val="28"/>
          <w:szCs w:val="28"/>
        </w:rPr>
      </w:pPr>
      <w:r>
        <w:rPr>
          <w:rFonts w:ascii="Cambria" w:hAnsi="Cambria"/>
          <w:b/>
          <w:bCs/>
          <w:color w:val="auto"/>
          <w:sz w:val="28"/>
          <w:szCs w:val="28"/>
        </w:rPr>
        <w:t xml:space="preserve">2. CONTROL HIGIÉNICO-SANITARIO BASADO EN EL SISTEMA HACCP</w:t>
      </w:r>
    </w:p>
    <w:p>
      <w:pPr>
        <w:pStyle w:val="Ttulo2"/>
        <w:jc w:val="both"/>
        <w:rPr>
          <w:rFonts w:ascii="Cambria" w:hAnsi="Cambria"/>
          <w:b/>
          <w:bCs/>
          <w:color w:val="auto"/>
          <w:sz w:val="24"/>
          <w:szCs w:val="24"/>
        </w:rPr>
      </w:pPr>
      <w:r>
        <w:rPr>
          <w:rFonts w:ascii="Cambria" w:hAnsi="Cambria"/>
          <w:b/>
          <w:bCs/>
          <w:color w:val="auto"/>
          <w:sz w:val="24"/>
          <w:szCs w:val="24"/>
        </w:rPr>
        <w:t xml:space="preserve">2.1. Antecedentes</w:t>
      </w:r>
    </w:p>
    <w:p>
      <w:pPr>
        <w:numPr>
          <w:ilvl w:val="0"/>
          <w:numId w:val="1"/>
        </w:numPr>
        <w:jc w:val="both"/>
        <w:rPr>
          <w:rFonts w:ascii="Cambria" w:hAnsi="Cambria"/>
        </w:rPr>
      </w:pPr>
      <w:r>
        <w:rPr>
          <w:rFonts w:ascii="Cambria" w:hAnsi="Cambria"/>
        </w:rPr>
        <w:t xml:space="preserve">El sistema nació en los años </w:t>
      </w:r>
      <w:r>
        <w:rPr>
          <w:rFonts w:ascii="Cambria" w:hAnsi="Cambria"/>
          <w:b/>
          <w:bCs/>
        </w:rPr>
        <w:t xml:space="preserve">60</w:t>
      </w:r>
      <w:r>
        <w:rPr>
          <w:rFonts w:ascii="Cambria" w:hAnsi="Cambria"/>
        </w:rPr>
        <w:t xml:space="preserve"> para las misiones espaciales de la </w:t>
      </w:r>
      <w:r>
        <w:rPr>
          <w:rFonts w:ascii="Cambria" w:hAnsi="Cambria"/>
          <w:b/>
          <w:bCs/>
        </w:rPr>
        <w:t xml:space="preserve">NASA</w:t>
      </w:r>
      <w:r>
        <w:rPr>
          <w:rFonts w:ascii="Cambria" w:hAnsi="Cambria"/>
        </w:rPr>
        <w:t xml:space="preserve">, desarrollado por </w:t>
      </w:r>
      <w:r>
        <w:rPr>
          <w:rFonts w:ascii="Cambria" w:hAnsi="Cambria"/>
          <w:b/>
          <w:bCs/>
        </w:rPr>
        <w:t xml:space="preserve">Pillsbury</w:t>
      </w:r>
      <w:r>
        <w:rPr>
          <w:rFonts w:ascii="Cambria" w:hAnsi="Cambria"/>
        </w:rPr>
        <w:t xml:space="preserve"> junto con los Laboratorios Natick del Ejército de EE. UU., al comprobarse que el análisis del producto final no garantizaba la seguridad al 100 %</w:t>
      </w:r>
    </w:p>
    <w:p>
      <w:pPr>
        <w:numPr>
          <w:ilvl w:val="0"/>
          <w:numId w:val="1"/>
        </w:numPr>
        <w:jc w:val="both"/>
        <w:rPr>
          <w:rFonts w:ascii="Cambria" w:hAnsi="Cambria"/>
        </w:rPr>
      </w:pPr>
      <w:r>
        <w:rPr>
          <w:rFonts w:ascii="Cambria" w:hAnsi="Cambria"/>
        </w:rPr>
        <w:t xml:space="preserve">El </w:t>
      </w:r>
      <w:r>
        <w:rPr>
          <w:rFonts w:ascii="Cambria" w:hAnsi="Cambria"/>
          <w:b/>
          <w:bCs/>
        </w:rPr>
        <w:t xml:space="preserve">Codex Alimentarius</w:t>
      </w:r>
      <w:r>
        <w:rPr>
          <w:rFonts w:ascii="Cambria" w:hAnsi="Cambria"/>
        </w:rPr>
        <w:t xml:space="preserve"> lo incorporó formalmente en </w:t>
      </w:r>
      <w:r>
        <w:rPr>
          <w:rFonts w:ascii="Cambria" w:hAnsi="Cambria"/>
          <w:b/>
          <w:bCs/>
        </w:rPr>
        <w:t xml:space="preserve">1991</w:t>
      </w:r>
      <w:r>
        <w:rPr>
          <w:rFonts w:ascii="Cambria" w:hAnsi="Cambria"/>
        </w:rPr>
        <w:t xml:space="preserve"> y, tras las recomendaciones de un Comité Mixto FAO/OMS, publicó en </w:t>
      </w:r>
      <w:r>
        <w:rPr>
          <w:rFonts w:ascii="Cambria" w:hAnsi="Cambria"/>
          <w:b/>
          <w:bCs/>
        </w:rPr>
        <w:t xml:space="preserve">1993</w:t>
      </w:r>
      <w:r>
        <w:rPr>
          <w:rFonts w:ascii="Cambria" w:hAnsi="Cambria"/>
        </w:rPr>
        <w:t xml:space="preserve"> las Directrices para su aplicación, con sus </w:t>
      </w:r>
      <w:r>
        <w:rPr>
          <w:rFonts w:ascii="Cambria" w:hAnsi="Cambria"/>
          <w:b/>
          <w:bCs/>
        </w:rPr>
        <w:t xml:space="preserve">7 principios</w:t>
      </w:r>
    </w:p>
    <w:p>
      <w:pPr>
        <w:numPr>
          <w:ilvl w:val="0"/>
          <w:numId w:val="1"/>
        </w:numPr>
        <w:jc w:val="both"/>
        <w:rPr>
          <w:rFonts w:ascii="Cambria" w:hAnsi="Cambria"/>
        </w:rPr>
      </w:pPr>
      <w:r>
        <w:rPr>
          <w:rFonts w:ascii="Cambria" w:hAnsi="Cambria"/>
        </w:rPr>
        <w:t xml:space="preserve">La revisión del Código de Prácticas de </w:t>
      </w:r>
      <w:r>
        <w:rPr>
          <w:rFonts w:ascii="Cambria" w:hAnsi="Cambria"/>
          <w:b/>
          <w:bCs/>
        </w:rPr>
        <w:t xml:space="preserve">2020 (CXC 1-1969)</w:t>
      </w:r>
      <w:r>
        <w:rPr>
          <w:rFonts w:ascii="Cambria" w:hAnsi="Cambria"/>
        </w:rPr>
        <w:t xml:space="preserve"> unificó los Principios Generales de Higiene de los Alimentos y el Anexo HACCP en un solo texto, incorporando:</w:t>
      </w:r>
    </w:p>
    <w:p>
      <w:pPr>
        <w:numPr>
          <w:ilvl w:val="1"/>
          <w:numId w:val="1"/>
        </w:numPr>
        <w:jc w:val="both"/>
        <w:rPr>
          <w:rFonts w:ascii="Cambria" w:hAnsi="Cambria"/>
        </w:rPr>
      </w:pPr>
      <w:r>
        <w:rPr>
          <w:rFonts w:ascii="Cambria" w:hAnsi="Cambria"/>
        </w:rPr>
        <w:t xml:space="preserve">La </w:t>
      </w:r>
      <w:r>
        <w:rPr>
          <w:rFonts w:ascii="Cambria" w:hAnsi="Cambria"/>
          <w:b/>
          <w:bCs/>
        </w:rPr>
        <w:t xml:space="preserve">Cultura de Inocuidad Alimentaria</w:t>
      </w:r>
      <w:r>
        <w:rPr>
          <w:rFonts w:ascii="Cambria" w:hAnsi="Cambria"/>
        </w:rPr>
        <w:t xml:space="preserve">, compromiso transversal de dirección y trabajadores</w:t>
      </w:r>
    </w:p>
    <w:p>
      <w:pPr>
        <w:numPr>
          <w:ilvl w:val="1"/>
          <w:numId w:val="1"/>
        </w:numPr>
        <w:jc w:val="both"/>
        <w:rPr>
          <w:rFonts w:ascii="Cambria" w:hAnsi="Cambria"/>
        </w:rPr>
      </w:pPr>
      <w:r>
        <w:rPr>
          <w:rFonts w:ascii="Cambria" w:hAnsi="Cambria"/>
        </w:rPr>
        <w:t xml:space="preserve">La clarificación entre </w:t>
      </w:r>
      <w:r>
        <w:rPr>
          <w:rFonts w:ascii="Cambria" w:hAnsi="Cambria"/>
          <w:b/>
          <w:bCs/>
        </w:rPr>
        <w:t xml:space="preserve">PGHA</w:t>
      </w:r>
      <w:r>
        <w:rPr>
          <w:rFonts w:ascii="Cambria" w:hAnsi="Cambria"/>
        </w:rPr>
        <w:t xml:space="preserve"> (prerrequisitos) y HACCP, diferenciando las Buenas Prácticas de Higiene (BPH) de los Puntos Críticos de Control (PCC)</w:t>
      </w:r>
    </w:p>
    <w:p>
      <w:pPr>
        <w:numPr>
          <w:ilvl w:val="1"/>
          <w:numId w:val="1"/>
        </w:numPr>
        <w:jc w:val="both"/>
        <w:rPr>
          <w:rFonts w:ascii="Cambria" w:hAnsi="Cambria"/>
        </w:rPr>
      </w:pPr>
      <w:r>
        <w:rPr>
          <w:rFonts w:ascii="Cambria" w:hAnsi="Cambria"/>
        </w:rPr>
        <w:t xml:space="preserve">Nuevos anexos con herramientas comparativas y plantillas del Plan HACCP, consolidados por publicaciones FAO/OMS de 2023</w:t>
      </w:r>
    </w:p>
    <w:p>
      <w:pPr>
        <w:pStyle w:val="Ttulo2"/>
        <w:jc w:val="both"/>
        <w:rPr>
          <w:rFonts w:ascii="Cambria" w:hAnsi="Cambria"/>
          <w:b/>
          <w:bCs/>
          <w:color w:val="auto"/>
          <w:sz w:val="24"/>
          <w:szCs w:val="24"/>
        </w:rPr>
      </w:pPr>
      <w:r>
        <w:rPr>
          <w:rFonts w:ascii="Cambria" w:hAnsi="Cambria"/>
          <w:b/>
          <w:bCs/>
          <w:color w:val="auto"/>
          <w:sz w:val="24"/>
          <w:szCs w:val="24"/>
        </w:rPr>
        <w:t xml:space="preserve">2.2. Características generales</w:t>
      </w:r>
    </w:p>
    <w:p>
      <w:pPr>
        <w:numPr>
          <w:ilvl w:val="0"/>
          <w:numId w:val="1"/>
        </w:numPr>
        <w:jc w:val="both"/>
        <w:rPr>
          <w:rFonts w:ascii="Cambria" w:hAnsi="Cambria"/>
        </w:rPr>
      </w:pPr>
      <w:r>
        <w:rPr>
          <w:rFonts w:ascii="Cambria" w:hAnsi="Cambria"/>
        </w:rPr>
        <w:t xml:space="preserve">Es un sistema de </w:t>
      </w:r>
      <w:r>
        <w:rPr>
          <w:rFonts w:ascii="Cambria" w:hAnsi="Cambria"/>
          <w:b/>
          <w:bCs/>
        </w:rPr>
        <w:t xml:space="preserve">autocontrol</w:t>
      </w:r>
      <w:r>
        <w:rPr>
          <w:rFonts w:ascii="Cambria" w:hAnsi="Cambria"/>
        </w:rPr>
        <w:t xml:space="preserve"> lógico, estructurado y preventivo que integra microbiología, química, tecnología alimentaria e higiene</w:t>
      </w:r>
    </w:p>
    <w:p>
      <w:pPr>
        <w:numPr>
          <w:ilvl w:val="0"/>
          <w:numId w:val="1"/>
        </w:numPr>
        <w:jc w:val="both"/>
        <w:rPr>
          <w:rFonts w:ascii="Cambria" w:hAnsi="Cambria"/>
        </w:rPr>
      </w:pPr>
      <w:r>
        <w:rPr>
          <w:rFonts w:ascii="Cambria" w:hAnsi="Cambria"/>
        </w:rPr>
        <w:t xml:space="preserve">Exige colaboración estrecha entre industria y autoridades sanitarias, con liderazgo de la dirección en recursos y capacitación</w:t>
      </w:r>
    </w:p>
    <w:p>
      <w:pPr>
        <w:numPr>
          <w:ilvl w:val="0"/>
          <w:numId w:val="1"/>
        </w:numPr>
        <w:jc w:val="both"/>
        <w:rPr>
          <w:rFonts w:ascii="Cambria" w:hAnsi="Cambria"/>
        </w:rPr>
      </w:pPr>
      <w:r>
        <w:rPr>
          <w:rFonts w:ascii="Cambria" w:hAnsi="Cambria"/>
        </w:rPr>
        <w:t xml:space="preserve">La Administración Pública debe promover su adopción, capacitar al personal inspector y velar por la armonización internacional</w:t>
      </w:r>
    </w:p>
    <w:p>
      <w:pPr>
        <w:numPr>
          <w:ilvl w:val="0"/>
          <w:numId w:val="1"/>
        </w:numPr>
        <w:jc w:val="both"/>
        <w:rPr>
          <w:rFonts w:ascii="Cambria" w:hAnsi="Cambria"/>
        </w:rPr>
      </w:pPr>
      <w:r>
        <w:rPr>
          <w:rFonts w:ascii="Cambria" w:hAnsi="Cambria"/>
        </w:rPr>
        <w:t xml:space="preserve">Responde al enfoque </w:t>
      </w:r>
      <w:r>
        <w:rPr>
          <w:rFonts w:ascii="Cambria" w:hAnsi="Cambria"/>
          <w:b/>
          <w:bCs/>
        </w:rPr>
        <w:t xml:space="preserve">"de la granja a la mesa"</w:t>
      </w:r>
      <w:r>
        <w:rPr>
          <w:rFonts w:ascii="Cambria" w:hAnsi="Cambria"/>
        </w:rPr>
        <w:t xml:space="preserve">, con manuales de capacitación de la FAO y los Ministerios de Sanidad</w:t>
      </w:r>
    </w:p>
    <w:p>
      <w:pPr>
        <w:pStyle w:val="Ttulo2"/>
        <w:jc w:val="both"/>
        <w:rPr>
          <w:rFonts w:ascii="Cambria" w:hAnsi="Cambria"/>
          <w:b/>
          <w:bCs/>
          <w:color w:val="auto"/>
          <w:sz w:val="24"/>
          <w:szCs w:val="24"/>
        </w:rPr>
      </w:pPr>
      <w:r>
        <w:rPr>
          <w:rFonts w:ascii="Cambria" w:hAnsi="Cambria"/>
          <w:b/>
          <w:bCs/>
          <w:color w:val="auto"/>
          <w:sz w:val="24"/>
          <w:szCs w:val="24"/>
        </w:rPr>
        <w:t xml:space="preserve">2.3. Ventajas e inconvenientes</w:t>
      </w:r>
    </w:p>
    <w:p>
      <w:pPr>
        <w:numPr>
          <w:ilvl w:val="0"/>
          <w:numId w:val="1"/>
        </w:numPr>
        <w:jc w:val="both"/>
        <w:rPr>
          <w:rFonts w:ascii="Cambria" w:hAnsi="Cambria"/>
        </w:rPr>
      </w:pPr>
      <w:r>
        <w:rPr>
          <w:rFonts w:ascii="Cambria" w:hAnsi="Cambria"/>
          <w:b/>
          <w:bCs/>
        </w:rPr>
        <w:t xml:space="preserve">Ventajas</w:t>
      </w:r>
      <w:r>
        <w:rPr>
          <w:rFonts w:ascii="Cambria" w:hAnsi="Cambria"/>
        </w:rPr>
        <w:t xml:space="preserve">:</w:t>
      </w:r>
    </w:p>
    <w:p>
      <w:pPr>
        <w:numPr>
          <w:ilvl w:val="1"/>
          <w:numId w:val="1"/>
        </w:numPr>
        <w:jc w:val="both"/>
        <w:rPr>
          <w:rFonts w:ascii="Cambria" w:hAnsi="Cambria"/>
        </w:rPr>
      </w:pPr>
      <w:r>
        <w:rPr>
          <w:rFonts w:ascii="Cambria" w:hAnsi="Cambria"/>
        </w:rPr>
        <w:t xml:space="preserve">Reducción de costes y desperdicio de producto</w:t>
      </w:r>
    </w:p>
    <w:p>
      <w:pPr>
        <w:numPr>
          <w:ilvl w:val="1"/>
          <w:numId w:val="1"/>
        </w:numPr>
        <w:jc w:val="both"/>
        <w:rPr>
          <w:rFonts w:ascii="Cambria" w:hAnsi="Cambria"/>
        </w:rPr>
      </w:pPr>
      <w:r>
        <w:rPr>
          <w:rFonts w:ascii="Cambria" w:hAnsi="Cambria"/>
        </w:rPr>
        <w:t xml:space="preserve">Responsabilidad proactiva de la propia empresa en la gestión del riesgo</w:t>
      </w:r>
    </w:p>
    <w:p>
      <w:pPr>
        <w:numPr>
          <w:ilvl w:val="1"/>
          <w:numId w:val="1"/>
        </w:numPr>
        <w:jc w:val="both"/>
        <w:rPr>
          <w:rFonts w:ascii="Cambria" w:hAnsi="Cambria"/>
        </w:rPr>
      </w:pPr>
      <w:r>
        <w:rPr>
          <w:rFonts w:ascii="Cambria" w:hAnsi="Cambria"/>
        </w:rPr>
        <w:t xml:space="preserve">Uso de indicadores en tiempo real (temperatura, tiempo, pH, humedad)</w:t>
      </w:r>
    </w:p>
    <w:p>
      <w:pPr>
        <w:numPr>
          <w:ilvl w:val="1"/>
          <w:numId w:val="1"/>
        </w:numPr>
        <w:jc w:val="both"/>
        <w:rPr>
          <w:rFonts w:ascii="Cambria" w:hAnsi="Cambria"/>
        </w:rPr>
      </w:pPr>
      <w:r>
        <w:rPr>
          <w:rFonts w:ascii="Cambria" w:hAnsi="Cambria"/>
        </w:rPr>
        <w:t xml:space="preserve">Respuesta inmediata ante desviaciones antes de la salida al mercado</w:t>
      </w:r>
    </w:p>
    <w:p>
      <w:pPr>
        <w:numPr>
          <w:ilvl w:val="1"/>
          <w:numId w:val="1"/>
        </w:numPr>
        <w:jc w:val="both"/>
        <w:rPr>
          <w:rFonts w:ascii="Cambria" w:hAnsi="Cambria"/>
        </w:rPr>
      </w:pPr>
      <w:r>
        <w:rPr>
          <w:rFonts w:ascii="Cambria" w:hAnsi="Cambria"/>
        </w:rPr>
        <w:t xml:space="preserve">Aumento de la competitividad y la imagen de marca</w:t>
      </w:r>
    </w:p>
    <w:p>
      <w:pPr>
        <w:numPr>
          <w:ilvl w:val="0"/>
          <w:numId w:val="1"/>
        </w:numPr>
        <w:jc w:val="both"/>
        <w:rPr>
          <w:rFonts w:ascii="Cambria" w:hAnsi="Cambria"/>
        </w:rPr>
      </w:pPr>
      <w:r>
        <w:rPr>
          <w:rFonts w:ascii="Cambria" w:hAnsi="Cambria"/>
          <w:b/>
          <w:bCs/>
        </w:rPr>
        <w:t xml:space="preserve">Inconvenientes</w:t>
      </w:r>
      <w:r>
        <w:rPr>
          <w:rFonts w:ascii="Cambria" w:hAnsi="Cambria"/>
        </w:rPr>
        <w:t xml:space="preserve">: necesidad de personal cualificado, inversión inicial y resistencia al cambio por percepción de costes administrativos</w:t>
      </w:r>
    </w:p>
    <w:p>
      <w:pPr>
        <w:pStyle w:val="Ttulo2"/>
        <w:jc w:val="both"/>
        <w:rPr>
          <w:rFonts w:ascii="Cambria" w:hAnsi="Cambria"/>
          <w:b/>
          <w:bCs/>
          <w:color w:val="auto"/>
          <w:sz w:val="24"/>
          <w:szCs w:val="24"/>
        </w:rPr>
      </w:pPr>
      <w:r>
        <w:rPr>
          <w:rFonts w:ascii="Cambria" w:hAnsi="Cambria"/>
          <w:b/>
          <w:bCs/>
          <w:color w:val="auto"/>
          <w:sz w:val="24"/>
          <w:szCs w:val="24"/>
        </w:rPr>
        <w:t xml:space="preserve">2.4. Principios generales</w:t>
      </w:r>
    </w:p>
    <w:p>
      <w:pPr>
        <w:numPr>
          <w:ilvl w:val="0"/>
          <w:numId w:val="1"/>
        </w:numPr>
        <w:jc w:val="both"/>
        <w:rPr>
          <w:rFonts w:ascii="Cambria" w:hAnsi="Cambria"/>
        </w:rPr>
      </w:pPr>
      <w:r>
        <w:rPr>
          <w:rFonts w:ascii="Cambria" w:hAnsi="Cambria"/>
        </w:rPr>
        <w:t xml:space="preserve">Los </w:t>
      </w:r>
      <w:r>
        <w:rPr>
          <w:rFonts w:ascii="Cambria" w:hAnsi="Cambria"/>
          <w:b/>
          <w:bCs/>
        </w:rPr>
        <w:t xml:space="preserve">7 principios del Codex Alimentarius</w:t>
      </w:r>
      <w:r>
        <w:rPr>
          <w:rFonts w:ascii="Cambria" w:hAnsi="Cambria"/>
        </w:rPr>
        <w:t xml:space="preserve">:</w:t>
      </w:r>
    </w:p>
    <w:p>
      <w:pPr>
        <w:numPr>
          <w:ilvl w:val="1"/>
          <w:numId w:val="1"/>
        </w:numPr>
        <w:jc w:val="both"/>
        <w:rPr>
          <w:rFonts w:ascii="Cambria" w:hAnsi="Cambria"/>
        </w:rPr>
      </w:pPr>
      <w:r>
        <w:rPr>
          <w:rFonts w:ascii="Cambria" w:hAnsi="Cambria"/>
        </w:rPr>
        <w:t xml:space="preserve">Realizar un análisis de peligros (biológicos, químicos, físicos y alérgenos)</w:t>
      </w:r>
    </w:p>
    <w:p>
      <w:pPr>
        <w:numPr>
          <w:ilvl w:val="1"/>
          <w:numId w:val="1"/>
        </w:numPr>
        <w:jc w:val="both"/>
        <w:rPr>
          <w:rFonts w:ascii="Cambria" w:hAnsi="Cambria"/>
        </w:rPr>
      </w:pPr>
      <w:r>
        <w:rPr>
          <w:rFonts w:ascii="Cambria" w:hAnsi="Cambria"/>
        </w:rPr>
        <w:t xml:space="preserve">Determinar los </w:t>
      </w:r>
      <w:r>
        <w:rPr>
          <w:rFonts w:ascii="Cambria" w:hAnsi="Cambria"/>
          <w:b/>
          <w:bCs/>
        </w:rPr>
        <w:t xml:space="preserve">Puntos Críticos de Control (PCC)</w:t>
      </w:r>
    </w:p>
    <w:p>
      <w:pPr>
        <w:numPr>
          <w:ilvl w:val="1"/>
          <w:numId w:val="1"/>
        </w:numPr>
        <w:jc w:val="both"/>
        <w:rPr>
          <w:rFonts w:ascii="Cambria" w:hAnsi="Cambria"/>
        </w:rPr>
      </w:pPr>
      <w:r>
        <w:rPr>
          <w:rFonts w:ascii="Cambria" w:hAnsi="Cambria"/>
        </w:rPr>
        <w:t xml:space="preserve">Establecer límites críticos cuantificables en cada PCC</w:t>
      </w:r>
    </w:p>
    <w:p>
      <w:pPr>
        <w:numPr>
          <w:ilvl w:val="1"/>
          <w:numId w:val="1"/>
        </w:numPr>
        <w:jc w:val="both"/>
        <w:rPr>
          <w:rFonts w:ascii="Cambria" w:hAnsi="Cambria"/>
        </w:rPr>
      </w:pPr>
      <w:r>
        <w:rPr>
          <w:rFonts w:ascii="Cambria" w:hAnsi="Cambria"/>
        </w:rPr>
        <w:t xml:space="preserve">Establecer un sistema de vigilancia de los PCC</w:t>
      </w:r>
    </w:p>
    <w:p>
      <w:pPr>
        <w:numPr>
          <w:ilvl w:val="1"/>
          <w:numId w:val="1"/>
        </w:numPr>
        <w:jc w:val="both"/>
        <w:rPr>
          <w:rFonts w:ascii="Cambria" w:hAnsi="Cambria"/>
        </w:rPr>
      </w:pPr>
      <w:r>
        <w:rPr>
          <w:rFonts w:ascii="Cambria" w:hAnsi="Cambria"/>
        </w:rPr>
        <w:t xml:space="preserve">Establecer medidas correctoras ante desviaciones</w:t>
      </w:r>
    </w:p>
    <w:p>
      <w:pPr>
        <w:numPr>
          <w:ilvl w:val="1"/>
          <w:numId w:val="1"/>
        </w:numPr>
        <w:jc w:val="both"/>
        <w:rPr>
          <w:rFonts w:ascii="Cambria" w:hAnsi="Cambria"/>
        </w:rPr>
      </w:pPr>
      <w:r>
        <w:rPr>
          <w:rFonts w:ascii="Cambria" w:hAnsi="Cambria"/>
        </w:rPr>
        <w:t xml:space="preserve">Establecer procedimientos de verificación de la eficacia del sistema</w:t>
      </w:r>
    </w:p>
    <w:p>
      <w:pPr>
        <w:numPr>
          <w:ilvl w:val="1"/>
          <w:numId w:val="1"/>
        </w:numPr>
        <w:jc w:val="both"/>
        <w:rPr>
          <w:rFonts w:ascii="Cambria" w:hAnsi="Cambria"/>
        </w:rPr>
      </w:pPr>
      <w:r>
        <w:rPr>
          <w:rFonts w:ascii="Cambria" w:hAnsi="Cambria"/>
        </w:rPr>
        <w:t xml:space="preserve">Establecer un sistema de documentación y registro</w:t>
      </w:r>
    </w:p>
    <w:p>
      <w:pPr>
        <w:pStyle w:val="Ttulo2"/>
        <w:jc w:val="both"/>
        <w:rPr>
          <w:rFonts w:ascii="Cambria" w:hAnsi="Cambria"/>
          <w:b/>
          <w:bCs/>
          <w:color w:val="auto"/>
          <w:sz w:val="24"/>
          <w:szCs w:val="24"/>
        </w:rPr>
      </w:pPr>
      <w:r>
        <w:rPr>
          <w:rFonts w:ascii="Cambria" w:hAnsi="Cambria"/>
          <w:b/>
          <w:bCs/>
          <w:color w:val="auto"/>
          <w:sz w:val="24"/>
          <w:szCs w:val="24"/>
        </w:rPr>
        <w:t xml:space="preserve">2.5. Implantación del sistema</w:t>
      </w:r>
    </w:p>
    <w:p>
      <w:pPr>
        <w:numPr>
          <w:ilvl w:val="0"/>
          <w:numId w:val="1"/>
        </w:numPr>
        <w:jc w:val="both"/>
        <w:rPr>
          <w:rFonts w:ascii="Cambria" w:hAnsi="Cambria"/>
        </w:rPr>
      </w:pPr>
      <w:r>
        <w:rPr>
          <w:rFonts w:ascii="Cambria" w:hAnsi="Cambria"/>
        </w:rPr>
        <w:t xml:space="preserve">Las </w:t>
      </w:r>
      <w:r>
        <w:rPr>
          <w:rFonts w:ascii="Cambria" w:hAnsi="Cambria"/>
          <w:b/>
          <w:bCs/>
        </w:rPr>
        <w:t xml:space="preserve">12 etapas</w:t>
      </w:r>
      <w:r>
        <w:rPr>
          <w:rFonts w:ascii="Cambria" w:hAnsi="Cambria"/>
        </w:rPr>
        <w:t xml:space="preserve"> de aplicación práctica:</w:t>
      </w:r>
    </w:p>
    <w:p>
      <w:pPr>
        <w:numPr>
          <w:ilvl w:val="1"/>
          <w:numId w:val="1"/>
        </w:numPr>
        <w:jc w:val="both"/>
        <w:rPr>
          <w:rFonts w:ascii="Cambria" w:hAnsi="Cambria"/>
        </w:rPr>
      </w:pPr>
      <w:r>
        <w:rPr>
          <w:rFonts w:ascii="Cambria" w:hAnsi="Cambria"/>
        </w:rPr>
        <w:t xml:space="preserve">Selección del equipo de trabajo multidisciplinar HACCP y definición de términos de referencia</w:t>
      </w:r>
    </w:p>
    <w:p>
      <w:pPr>
        <w:numPr>
          <w:ilvl w:val="1"/>
          <w:numId w:val="1"/>
        </w:numPr>
        <w:jc w:val="both"/>
        <w:rPr>
          <w:rFonts w:ascii="Cambria" w:hAnsi="Cambria"/>
        </w:rPr>
      </w:pPr>
      <w:r>
        <w:rPr>
          <w:rFonts w:ascii="Cambria" w:hAnsi="Cambria"/>
        </w:rPr>
        <w:t xml:space="preserve">Descripción del producto (ingredientes, aditivos, estabilidad, envasado)</w:t>
      </w:r>
    </w:p>
    <w:p>
      <w:pPr>
        <w:numPr>
          <w:ilvl w:val="1"/>
          <w:numId w:val="1"/>
        </w:numPr>
        <w:jc w:val="both"/>
        <w:rPr>
          <w:rFonts w:ascii="Cambria" w:hAnsi="Cambria"/>
        </w:rPr>
      </w:pPr>
      <w:r>
        <w:rPr>
          <w:rFonts w:ascii="Cambria" w:hAnsi="Cambria"/>
        </w:rPr>
        <w:t xml:space="preserve">Identificación del uso esperado y de los grupos diana</w:t>
      </w:r>
    </w:p>
    <w:p>
      <w:pPr>
        <w:numPr>
          <w:ilvl w:val="1"/>
          <w:numId w:val="1"/>
        </w:numPr>
        <w:jc w:val="both"/>
        <w:rPr>
          <w:rFonts w:ascii="Cambria" w:hAnsi="Cambria"/>
        </w:rPr>
      </w:pPr>
      <w:r>
        <w:rPr>
          <w:rFonts w:ascii="Cambria" w:hAnsi="Cambria"/>
        </w:rPr>
        <w:t xml:space="preserve">Elaboración del diagrama de flujo del proceso completo</w:t>
      </w:r>
    </w:p>
    <w:p>
      <w:pPr>
        <w:numPr>
          <w:ilvl w:val="1"/>
          <w:numId w:val="1"/>
        </w:numPr>
        <w:jc w:val="both"/>
        <w:rPr>
          <w:rFonts w:ascii="Cambria" w:hAnsi="Cambria"/>
        </w:rPr>
      </w:pPr>
      <w:r>
        <w:rPr>
          <w:rFonts w:ascii="Cambria" w:hAnsi="Cambria"/>
        </w:rPr>
        <w:t xml:space="preserve">Verificación in situ del diagrama en planta</w:t>
      </w:r>
    </w:p>
    <w:p>
      <w:pPr>
        <w:numPr>
          <w:ilvl w:val="1"/>
          <w:numId w:val="1"/>
        </w:numPr>
        <w:jc w:val="both"/>
        <w:rPr>
          <w:rFonts w:ascii="Cambria" w:hAnsi="Cambria"/>
        </w:rPr>
      </w:pPr>
      <w:r>
        <w:rPr>
          <w:rFonts w:ascii="Cambria" w:hAnsi="Cambria"/>
        </w:rPr>
        <w:t xml:space="preserve">Enumeración de peligros y medidas preventivas (Principio 1)</w:t>
      </w:r>
    </w:p>
    <w:p>
      <w:pPr>
        <w:numPr>
          <w:ilvl w:val="1"/>
          <w:numId w:val="1"/>
        </w:numPr>
        <w:jc w:val="both"/>
        <w:rPr>
          <w:rFonts w:ascii="Cambria" w:hAnsi="Cambria"/>
        </w:rPr>
      </w:pPr>
      <w:r>
        <w:rPr>
          <w:rFonts w:ascii="Cambria" w:hAnsi="Cambria"/>
        </w:rPr>
        <w:t xml:space="preserve">Determinación de los PCC mediante árbol de decisiones (Principio 2)</w:t>
      </w:r>
    </w:p>
    <w:p>
      <w:pPr>
        <w:numPr>
          <w:ilvl w:val="1"/>
          <w:numId w:val="1"/>
        </w:numPr>
        <w:jc w:val="both"/>
        <w:rPr>
          <w:rFonts w:ascii="Cambria" w:hAnsi="Cambria"/>
        </w:rPr>
      </w:pPr>
      <w:r>
        <w:rPr>
          <w:rFonts w:ascii="Cambria" w:hAnsi="Cambria"/>
        </w:rPr>
        <w:t xml:space="preserve">Establecimiento de límites críticos (Principio 3)</w:t>
      </w:r>
    </w:p>
    <w:p>
      <w:pPr>
        <w:numPr>
          <w:ilvl w:val="1"/>
          <w:numId w:val="1"/>
        </w:numPr>
        <w:jc w:val="both"/>
        <w:rPr>
          <w:rFonts w:ascii="Cambria" w:hAnsi="Cambria"/>
        </w:rPr>
      </w:pPr>
      <w:r>
        <w:rPr>
          <w:rFonts w:ascii="Cambria" w:hAnsi="Cambria"/>
        </w:rPr>
        <w:t xml:space="preserve">Establecimiento del sistema de vigilancia (Principio 4)</w:t>
      </w:r>
    </w:p>
    <w:p>
      <w:pPr>
        <w:numPr>
          <w:ilvl w:val="1"/>
          <w:numId w:val="1"/>
        </w:numPr>
        <w:jc w:val="both"/>
        <w:rPr>
          <w:rFonts w:ascii="Cambria" w:hAnsi="Cambria"/>
        </w:rPr>
      </w:pPr>
      <w:r>
        <w:rPr>
          <w:rFonts w:ascii="Cambria" w:hAnsi="Cambria"/>
        </w:rPr>
        <w:t xml:space="preserve">Establecimiento de medidas correctoras (Principio 5)</w:t>
      </w:r>
    </w:p>
    <w:p>
      <w:pPr>
        <w:numPr>
          <w:ilvl w:val="1"/>
          <w:numId w:val="1"/>
        </w:numPr>
        <w:jc w:val="both"/>
        <w:rPr>
          <w:rFonts w:ascii="Cambria" w:hAnsi="Cambria"/>
        </w:rPr>
      </w:pPr>
      <w:r>
        <w:rPr>
          <w:rFonts w:ascii="Cambria" w:hAnsi="Cambria"/>
        </w:rPr>
        <w:t xml:space="preserve">Establecimiento del sistema de documentación y registro (Principio 7)</w:t>
      </w:r>
    </w:p>
    <w:p>
      <w:pPr>
        <w:numPr>
          <w:ilvl w:val="1"/>
          <w:numId w:val="1"/>
        </w:numPr>
        <w:jc w:val="both"/>
        <w:rPr>
          <w:rFonts w:ascii="Cambria" w:hAnsi="Cambria"/>
        </w:rPr>
      </w:pPr>
      <w:r>
        <w:rPr>
          <w:rFonts w:ascii="Cambria" w:hAnsi="Cambria"/>
        </w:rPr>
        <w:t xml:space="preserve">Verificación y capacitación del sistema mediante auditorías (Principio 6)</w:t>
      </w:r>
    </w:p>
    <w:p>
      <w:pPr>
        <w:pStyle w:val="Ttulo1"/>
        <w:jc w:val="both"/>
        <w:rPr>
          <w:rFonts w:ascii="Cambria" w:hAnsi="Cambria"/>
          <w:b/>
          <w:bCs/>
          <w:color w:val="auto"/>
          <w:sz w:val="28"/>
          <w:szCs w:val="28"/>
        </w:rPr>
      </w:pPr>
      <w:r>
        <w:rPr>
          <w:rFonts w:ascii="Cambria" w:hAnsi="Cambria"/>
          <w:b/>
          <w:bCs/>
          <w:color w:val="auto"/>
          <w:sz w:val="28"/>
          <w:szCs w:val="28"/>
        </w:rPr>
        <w:t xml:space="preserve">3. APLICACIÓN EN PRODUCTOS NO TRANSFORMADOS Y TRANSFORMADOS</w:t>
      </w:r>
    </w:p>
    <w:p>
      <w:pPr>
        <w:pStyle w:val="Ttulo2"/>
        <w:jc w:val="both"/>
        <w:rPr>
          <w:rFonts w:ascii="Cambria" w:hAnsi="Cambria"/>
          <w:b/>
          <w:bCs/>
          <w:color w:val="auto"/>
          <w:sz w:val="24"/>
          <w:szCs w:val="24"/>
        </w:rPr>
      </w:pPr>
      <w:r>
        <w:rPr>
          <w:rFonts w:ascii="Cambria" w:hAnsi="Cambria"/>
          <w:b/>
          <w:bCs/>
          <w:color w:val="auto"/>
          <w:sz w:val="24"/>
          <w:szCs w:val="24"/>
        </w:rPr>
        <w:t xml:space="preserve">3.1. Productos no transformados: frutas y hortalizas frescas</w:t>
      </w:r>
    </w:p>
    <w:p>
      <w:pPr>
        <w:numPr>
          <w:ilvl w:val="0"/>
          <w:numId w:val="1"/>
        </w:numPr>
        <w:jc w:val="both"/>
        <w:rPr>
          <w:rFonts w:ascii="Cambria" w:hAnsi="Cambria"/>
        </w:rPr>
      </w:pPr>
      <w:r>
        <w:rPr>
          <w:rFonts w:ascii="Cambria" w:hAnsi="Cambria"/>
        </w:rPr>
        <w:t xml:space="preserve">El control se centra en el riesgo microbiológico, con patógenos como </w:t>
      </w:r>
      <w:r>
        <w:rPr>
          <w:rFonts w:ascii="Cambria" w:hAnsi="Cambria"/>
          <w:b/>
          <w:bCs/>
        </w:rPr>
        <w:t xml:space="preserve">E. coli</w:t>
      </w:r>
      <w:r>
        <w:rPr>
          <w:rFonts w:ascii="Cambria" w:hAnsi="Cambria"/>
        </w:rPr>
        <w:t xml:space="preserve"> (lechugas y vegetales de hoja) o </w:t>
      </w:r>
      <w:r>
        <w:rPr>
          <w:rFonts w:ascii="Cambria" w:hAnsi="Cambria"/>
          <w:b/>
          <w:bCs/>
        </w:rPr>
        <w:t xml:space="preserve">Cyclospora</w:t>
      </w:r>
      <w:r>
        <w:rPr>
          <w:rFonts w:ascii="Cambria" w:hAnsi="Cambria"/>
        </w:rPr>
        <w:t xml:space="preserve"> (frutos rojos)</w:t>
      </w:r>
    </w:p>
    <w:p>
      <w:pPr>
        <w:numPr>
          <w:ilvl w:val="0"/>
          <w:numId w:val="1"/>
        </w:numPr>
        <w:jc w:val="both"/>
        <w:rPr>
          <w:rFonts w:ascii="Cambria" w:hAnsi="Cambria"/>
        </w:rPr>
      </w:pPr>
      <w:r>
        <w:rPr>
          <w:rFonts w:ascii="Cambria" w:hAnsi="Cambria"/>
        </w:rPr>
        <w:t xml:space="preserve">El análisis de peligros identifica como vectores de riesgo el agua, el estiércol, los abonos orgánicos, la higiene del personal, el transporte y la trazabilidad</w:t>
      </w:r>
    </w:p>
    <w:p>
      <w:pPr>
        <w:numPr>
          <w:ilvl w:val="0"/>
          <w:numId w:val="1"/>
        </w:numPr>
        <w:jc w:val="both"/>
        <w:rPr>
          <w:rFonts w:ascii="Cambria" w:hAnsi="Cambria"/>
        </w:rPr>
      </w:pPr>
      <w:r>
        <w:rPr>
          <w:rFonts w:ascii="Cambria" w:hAnsi="Cambria"/>
          <w:b/>
          <w:bCs/>
        </w:rPr>
        <w:t xml:space="preserve">PCC</w:t>
      </w:r>
      <w:r>
        <w:rPr>
          <w:rFonts w:ascii="Cambria" w:hAnsi="Cambria"/>
        </w:rPr>
        <w:t xml:space="preserve"> identificados:</w:t>
      </w:r>
    </w:p>
    <w:p>
      <w:pPr>
        <w:numPr>
          <w:ilvl w:val="1"/>
          <w:numId w:val="1"/>
        </w:numPr>
        <w:jc w:val="both"/>
        <w:rPr>
          <w:rFonts w:ascii="Cambria" w:hAnsi="Cambria"/>
        </w:rPr>
      </w:pPr>
      <w:r>
        <w:rPr>
          <w:rFonts w:ascii="Cambria" w:hAnsi="Cambria"/>
        </w:rPr>
        <w:t xml:space="preserve">Calidad del agua de riego y procesado, vigilando el método de riego, el intervalo hasta la cosecha y la higienización de tanques de lavado</w:t>
      </w:r>
    </w:p>
    <w:p>
      <w:pPr>
        <w:numPr>
          <w:ilvl w:val="1"/>
          <w:numId w:val="1"/>
        </w:numPr>
        <w:jc w:val="both"/>
        <w:rPr>
          <w:rFonts w:ascii="Cambria" w:hAnsi="Cambria"/>
        </w:rPr>
      </w:pPr>
      <w:r>
        <w:rPr>
          <w:rFonts w:ascii="Cambria" w:hAnsi="Cambria"/>
        </w:rPr>
        <w:t xml:space="preserve">Estiércol y enmiendas orgánicas, que exigen tratamientos de compostaje, pasteurización o digestión anaerobia, o una antelación de </w:t>
      </w:r>
      <w:r>
        <w:rPr>
          <w:rFonts w:ascii="Cambria" w:hAnsi="Cambria"/>
          <w:b/>
          <w:bCs/>
        </w:rPr>
        <w:t xml:space="preserve">60 a 120 días</w:t>
      </w:r>
      <w:r>
        <w:rPr>
          <w:rFonts w:ascii="Cambria" w:hAnsi="Cambria"/>
        </w:rPr>
        <w:t xml:space="preserve"> si no se tratan</w:t>
      </w:r>
    </w:p>
    <w:p>
      <w:pPr>
        <w:numPr>
          <w:ilvl w:val="1"/>
          <w:numId w:val="1"/>
        </w:numPr>
        <w:jc w:val="both"/>
        <w:rPr>
          <w:rFonts w:ascii="Cambria" w:hAnsi="Cambria"/>
        </w:rPr>
      </w:pPr>
      <w:r>
        <w:rPr>
          <w:rFonts w:ascii="Cambria" w:hAnsi="Cambria"/>
        </w:rPr>
        <w:t xml:space="preserve">Higiene y estado de salud de los manipuladores, regulada en España por el </w:t>
      </w:r>
      <w:r>
        <w:rPr>
          <w:rFonts w:ascii="Cambria" w:hAnsi="Cambria"/>
          <w:b/>
          <w:bCs/>
        </w:rPr>
        <w:t xml:space="preserve">Real Decreto 109/2010</w:t>
      </w:r>
      <w:r>
        <w:rPr>
          <w:rFonts w:ascii="Cambria" w:hAnsi="Cambria"/>
        </w:rPr>
        <w:t xml:space="preserve"> sobre manipuladores de alimentos</w:t>
      </w:r>
    </w:p>
    <w:p>
      <w:pPr>
        <w:numPr>
          <w:ilvl w:val="1"/>
          <w:numId w:val="1"/>
        </w:numPr>
        <w:jc w:val="both"/>
        <w:rPr>
          <w:rFonts w:ascii="Cambria" w:hAnsi="Cambria"/>
        </w:rPr>
      </w:pPr>
      <w:r>
        <w:rPr>
          <w:rFonts w:ascii="Cambria" w:hAnsi="Cambria"/>
        </w:rPr>
        <w:t xml:space="preserve">Transporte y logística, con mantenimiento de la cadena de frío</w:t>
      </w:r>
    </w:p>
    <w:p>
      <w:pPr>
        <w:numPr>
          <w:ilvl w:val="1"/>
          <w:numId w:val="1"/>
        </w:numPr>
        <w:jc w:val="both"/>
        <w:rPr>
          <w:rFonts w:ascii="Cambria" w:hAnsi="Cambria"/>
        </w:rPr>
      </w:pPr>
      <w:r>
        <w:rPr>
          <w:rFonts w:ascii="Cambria" w:hAnsi="Cambria"/>
        </w:rPr>
        <w:t xml:space="preserve">Rastreo y trazabilidad, crítico por la vida útil corta de estos productos</w:t>
      </w:r>
    </w:p>
    <w:p>
      <w:pPr>
        <w:pStyle w:val="Ttulo2"/>
        <w:jc w:val="both"/>
        <w:rPr>
          <w:rFonts w:ascii="Cambria" w:hAnsi="Cambria"/>
          <w:b/>
          <w:bCs/>
          <w:color w:val="auto"/>
          <w:sz w:val="24"/>
          <w:szCs w:val="24"/>
        </w:rPr>
      </w:pPr>
      <w:r>
        <w:rPr>
          <w:rFonts w:ascii="Cambria" w:hAnsi="Cambria"/>
          <w:b/>
          <w:bCs/>
          <w:color w:val="auto"/>
          <w:sz w:val="24"/>
          <w:szCs w:val="24"/>
        </w:rPr>
        <w:t xml:space="preserve">3.2. Productos transformados: conservas de vegetales</w:t>
      </w:r>
    </w:p>
    <w:p>
      <w:pPr>
        <w:numPr>
          <w:ilvl w:val="0"/>
          <w:numId w:val="1"/>
        </w:numPr>
        <w:jc w:val="both"/>
        <w:rPr>
          <w:rFonts w:ascii="Cambria" w:hAnsi="Cambria"/>
        </w:rPr>
      </w:pPr>
      <w:r>
        <w:rPr>
          <w:rFonts w:ascii="Cambria" w:hAnsi="Cambria"/>
        </w:rPr>
        <w:t xml:space="preserve">El análisis de peligros se centra en la contaminación térmica y el sellado de envases</w:t>
      </w:r>
    </w:p>
    <w:p>
      <w:pPr>
        <w:numPr>
          <w:ilvl w:val="0"/>
          <w:numId w:val="1"/>
        </w:numPr>
        <w:jc w:val="both"/>
        <w:rPr>
          <w:rFonts w:ascii="Cambria" w:hAnsi="Cambria"/>
        </w:rPr>
      </w:pPr>
      <w:r>
        <w:rPr>
          <w:rFonts w:ascii="Cambria" w:hAnsi="Cambria"/>
          <w:b/>
          <w:bCs/>
        </w:rPr>
        <w:t xml:space="preserve">PCC</w:t>
      </w:r>
      <w:r>
        <w:rPr>
          <w:rFonts w:ascii="Cambria" w:hAnsi="Cambria"/>
        </w:rPr>
        <w:t xml:space="preserve"> identificados:</w:t>
      </w:r>
    </w:p>
    <w:p>
      <w:pPr>
        <w:numPr>
          <w:ilvl w:val="1"/>
          <w:numId w:val="1"/>
        </w:numPr>
        <w:jc w:val="both"/>
        <w:rPr>
          <w:rFonts w:ascii="Cambria" w:hAnsi="Cambria"/>
        </w:rPr>
      </w:pPr>
      <w:r>
        <w:rPr>
          <w:rFonts w:ascii="Cambria" w:hAnsi="Cambria"/>
        </w:rPr>
        <w:t xml:space="preserve">Recepción y acondicionamiento de la materia prima, controlando suciedad y temperatura pre-proceso</w:t>
      </w:r>
    </w:p>
    <w:p>
      <w:pPr>
        <w:numPr>
          <w:ilvl w:val="1"/>
          <w:numId w:val="1"/>
        </w:numPr>
        <w:jc w:val="both"/>
        <w:rPr>
          <w:rFonts w:ascii="Cambria" w:hAnsi="Cambria"/>
        </w:rPr>
      </w:pPr>
      <w:r>
        <w:rPr>
          <w:rFonts w:ascii="Cambria" w:hAnsi="Cambria"/>
        </w:rPr>
        <w:t xml:space="preserve">Integridad y hermeticidad de los envases, con control del llenado, el desaireado (*exhausting*) y el doble cierre</w:t>
      </w:r>
    </w:p>
    <w:p>
      <w:pPr>
        <w:numPr>
          <w:ilvl w:val="1"/>
          <w:numId w:val="1"/>
        </w:numPr>
        <w:jc w:val="both"/>
        <w:rPr>
          <w:rFonts w:ascii="Cambria" w:hAnsi="Cambria"/>
        </w:rPr>
      </w:pPr>
      <w:r>
        <w:rPr>
          <w:rFonts w:ascii="Cambria" w:hAnsi="Cambria"/>
        </w:rPr>
        <w:t xml:space="preserve">Tratamiento térmico o cocción botulínica, orientado a la destrucción de esporas de </w:t>
      </w:r>
      <w:r>
        <w:rPr>
          <w:rFonts w:ascii="Cambria" w:hAnsi="Cambria"/>
          <w:b/>
          <w:bCs/>
        </w:rPr>
        <w:t xml:space="preserve">Clostridium botulinum</w:t>
      </w:r>
      <w:r>
        <w:rPr>
          <w:rFonts w:ascii="Cambria" w:hAnsi="Cambria"/>
        </w:rPr>
        <w:t xml:space="preserve"> (reducción </w:t>
      </w:r>
      <w:r>
        <w:rPr>
          <w:rFonts w:ascii="Cambria" w:hAnsi="Cambria"/>
          <w:b/>
          <w:bCs/>
        </w:rPr>
        <w:t xml:space="preserve">12D</w:t>
      </w:r>
      <w:r>
        <w:rPr>
          <w:rFonts w:ascii="Cambria" w:hAnsi="Cambria"/>
        </w:rPr>
        <w:t xml:space="preserve">)</w:t>
      </w:r>
    </w:p>
    <w:p>
      <w:pPr>
        <w:numPr>
          <w:ilvl w:val="2"/>
          <w:numId w:val="1"/>
        </w:numPr>
        <w:jc w:val="both"/>
        <w:rPr>
          <w:rFonts w:ascii="Cambria" w:hAnsi="Cambria"/>
        </w:rPr>
      </w:pPr>
      <w:r>
        <w:rPr>
          <w:rFonts w:ascii="Cambria" w:hAnsi="Cambria"/>
        </w:rPr>
        <w:t xml:space="preserve">Alimentos de baja acidez (pH &gt; 4,6): esterilización en autoclave a más de </w:t>
      </w:r>
      <w:r>
        <w:rPr>
          <w:rFonts w:ascii="Cambria" w:hAnsi="Cambria"/>
          <w:b/>
          <w:bCs/>
        </w:rPr>
        <w:t xml:space="preserve">121 °C</w:t>
      </w:r>
    </w:p>
    <w:p>
      <w:pPr>
        <w:numPr>
          <w:ilvl w:val="2"/>
          <w:numId w:val="1"/>
        </w:numPr>
        <w:jc w:val="both"/>
        <w:rPr>
          <w:rFonts w:ascii="Cambria" w:hAnsi="Cambria"/>
        </w:rPr>
      </w:pPr>
      <w:r>
        <w:rPr>
          <w:rFonts w:ascii="Cambria" w:hAnsi="Cambria"/>
        </w:rPr>
        <w:t xml:space="preserve">Productos acidificados (pH &lt; 4,6): pasteurización tras acidificación controlada</w:t>
      </w:r>
    </w:p>
    <w:p>
      <w:pPr>
        <w:numPr>
          <w:ilvl w:val="1"/>
          <w:numId w:val="1"/>
        </w:numPr>
        <w:jc w:val="both"/>
        <w:rPr>
          <w:rFonts w:ascii="Cambria" w:hAnsi="Cambria"/>
        </w:rPr>
      </w:pPr>
      <w:r>
        <w:rPr>
          <w:rFonts w:ascii="Cambria" w:hAnsi="Cambria"/>
        </w:rPr>
        <w:t xml:space="preserve">Enfriamiento de envases, por aire o por agua, controlando el cloro residual libre para evitar recontaminación</w:t>
      </w:r>
    </w:p>
    <w:p>
      <w:pPr>
        <w:pStyle w:val="Ttulo1"/>
        <w:jc w:val="both"/>
        <w:rPr>
          <w:rFonts w:ascii="Cambria" w:hAnsi="Cambria"/>
          <w:b/>
          <w:bCs/>
          <w:color w:val="auto"/>
          <w:sz w:val="28"/>
          <w:szCs w:val="28"/>
        </w:rPr>
      </w:pPr>
      <w:r>
        <w:rPr>
          <w:rFonts w:ascii="Cambria" w:hAnsi="Cambria"/>
          <w:b/>
          <w:bCs/>
          <w:color w:val="auto"/>
          <w:sz w:val="28"/>
          <w:szCs w:val="28"/>
        </w:rPr>
        <w:t xml:space="preserve">4. LEGISLACIÓN COMUNITARIA Y NACIONAL</w:t>
      </w:r>
    </w:p>
    <w:p>
      <w:pPr>
        <w:pStyle w:val="Ttulo2"/>
        <w:jc w:val="both"/>
        <w:rPr>
          <w:rFonts w:ascii="Cambria" w:hAnsi="Cambria"/>
          <w:b/>
          <w:bCs/>
          <w:color w:val="auto"/>
          <w:sz w:val="24"/>
          <w:szCs w:val="24"/>
        </w:rPr>
      </w:pPr>
      <w:r>
        <w:rPr>
          <w:rFonts w:ascii="Cambria" w:hAnsi="Cambria"/>
          <w:b/>
          <w:bCs/>
          <w:color w:val="auto"/>
          <w:sz w:val="24"/>
          <w:szCs w:val="24"/>
        </w:rPr>
        <w:t xml:space="preserve">4.1. Legislación comunitaria</w:t>
      </w:r>
    </w:p>
    <w:p>
      <w:pPr>
        <w:numPr>
          <w:ilvl w:val="0"/>
          <w:numId w:val="1"/>
        </w:numPr>
        <w:jc w:val="both"/>
        <w:rPr>
          <w:rFonts w:ascii="Cambria" w:hAnsi="Cambria"/>
        </w:rPr>
      </w:pPr>
      <w:r>
        <w:rPr>
          <w:rFonts w:ascii="Cambria" w:hAnsi="Cambria"/>
        </w:rPr>
        <w:t xml:space="preserve">El </w:t>
      </w:r>
      <w:r>
        <w:rPr>
          <w:rFonts w:ascii="Cambria" w:hAnsi="Cambria"/>
          <w:b/>
          <w:bCs/>
        </w:rPr>
        <w:t xml:space="preserve">Paquete de Higiene</w:t>
      </w:r>
      <w:r>
        <w:rPr>
          <w:rFonts w:ascii="Cambria" w:hAnsi="Cambria"/>
        </w:rPr>
        <w:t xml:space="preserve">, en vigor desde 2006, armoniza la normativa europea bajo el enfoque "de la granja a la mesa" y extiende las obligaciones a la producción primaria</w:t>
      </w:r>
    </w:p>
    <w:p>
      <w:pPr>
        <w:numPr>
          <w:ilvl w:val="0"/>
          <w:numId w:val="1"/>
        </w:numPr>
        <w:jc w:val="both"/>
        <w:rPr>
          <w:rFonts w:ascii="Cambria" w:hAnsi="Cambria"/>
        </w:rPr>
      </w:pPr>
      <w:r>
        <w:rPr>
          <w:rFonts w:ascii="Cambria" w:hAnsi="Cambria"/>
        </w:rPr>
        <w:t xml:space="preserve">El </w:t>
      </w:r>
      <w:r>
        <w:rPr>
          <w:rFonts w:ascii="Cambria" w:hAnsi="Cambria"/>
          <w:b/>
          <w:bCs/>
        </w:rPr>
        <w:t xml:space="preserve">Reglamento (CE) 178/2002</w:t>
      </w:r>
      <w:r>
        <w:rPr>
          <w:rFonts w:ascii="Cambria" w:hAnsi="Cambria"/>
        </w:rPr>
        <w:t xml:space="preserve"> es la norma marco de la legislación alimentaria europea, crea la </w:t>
      </w:r>
      <w:r>
        <w:rPr>
          <w:rFonts w:ascii="Cambria" w:hAnsi="Cambria"/>
          <w:b/>
          <w:bCs/>
        </w:rPr>
        <w:t xml:space="preserve">Autoridad Europea de Seguridad Alimentaria (EFSA)</w:t>
      </w:r>
      <w:r>
        <w:rPr>
          <w:rFonts w:ascii="Cambria" w:hAnsi="Cambria"/>
        </w:rPr>
        <w:t xml:space="preserve"> e impone al operador la obligación de garantizar la seguridad mediante HACCP y trazabilidad, reservando a las autoridades el control oficial</w:t>
      </w:r>
    </w:p>
    <w:p>
      <w:pPr>
        <w:numPr>
          <w:ilvl w:val="0"/>
          <w:numId w:val="1"/>
        </w:numPr>
        <w:jc w:val="both"/>
        <w:rPr>
          <w:rFonts w:ascii="Cambria" w:hAnsi="Cambria"/>
        </w:rPr>
      </w:pPr>
      <w:r>
        <w:rPr>
          <w:rFonts w:ascii="Cambria" w:hAnsi="Cambria"/>
        </w:rPr>
        <w:t xml:space="preserve">Articula también:</w:t>
      </w:r>
    </w:p>
    <w:p>
      <w:pPr>
        <w:numPr>
          <w:ilvl w:val="1"/>
          <w:numId w:val="1"/>
        </w:numPr>
        <w:jc w:val="both"/>
        <w:rPr>
          <w:rFonts w:ascii="Cambria" w:hAnsi="Cambria"/>
        </w:rPr>
      </w:pPr>
      <w:r>
        <w:rPr>
          <w:rFonts w:ascii="Cambria" w:hAnsi="Cambria"/>
        </w:rPr>
        <w:t xml:space="preserve">El </w:t>
      </w:r>
      <w:r>
        <w:rPr>
          <w:rFonts w:ascii="Cambria" w:hAnsi="Cambria"/>
          <w:b/>
          <w:bCs/>
        </w:rPr>
        <w:t xml:space="preserve">Sistema de Alerta Rápida para Alimentos y Piensos (RASFF)</w:t>
      </w:r>
      <w:r>
        <w:rPr>
          <w:rFonts w:ascii="Cambria" w:hAnsi="Cambria"/>
        </w:rPr>
        <w:t xml:space="preserve">, coordinado por la Comisión Europea</w:t>
      </w:r>
    </w:p>
    <w:p>
      <w:pPr>
        <w:numPr>
          <w:ilvl w:val="1"/>
          <w:numId w:val="1"/>
        </w:numPr>
        <w:jc w:val="both"/>
        <w:rPr>
          <w:rFonts w:ascii="Cambria" w:hAnsi="Cambria"/>
        </w:rPr>
      </w:pPr>
      <w:r>
        <w:rPr>
          <w:rFonts w:ascii="Cambria" w:hAnsi="Cambria"/>
        </w:rPr>
        <w:t xml:space="preserve">Las medidas de emergencia y los Planes Generales de Gestión de Crisis</w:t>
      </w:r>
    </w:p>
    <w:p>
      <w:pPr>
        <w:numPr>
          <w:ilvl w:val="1"/>
          <w:numId w:val="1"/>
        </w:numPr>
        <w:jc w:val="both"/>
        <w:rPr>
          <w:rFonts w:ascii="Cambria" w:hAnsi="Cambria"/>
        </w:rPr>
      </w:pPr>
      <w:r>
        <w:rPr>
          <w:rFonts w:ascii="Cambria" w:hAnsi="Cambria"/>
        </w:rPr>
        <w:t xml:space="preserve">El </w:t>
      </w:r>
      <w:r>
        <w:rPr>
          <w:rFonts w:ascii="Cambria" w:hAnsi="Cambria"/>
          <w:b/>
          <w:bCs/>
        </w:rPr>
        <w:t xml:space="preserve">Comité Permanente de Vegetales, Animales, Alimentos y Piensos (Comité PAFF)</w:t>
      </w:r>
    </w:p>
    <w:p>
      <w:pPr>
        <w:numPr>
          <w:ilvl w:val="0"/>
          <w:numId w:val="1"/>
        </w:numPr>
        <w:jc w:val="both"/>
        <w:rPr>
          <w:rFonts w:ascii="Cambria" w:hAnsi="Cambria"/>
        </w:rPr>
      </w:pPr>
      <w:r>
        <w:rPr>
          <w:rFonts w:ascii="Cambria" w:hAnsi="Cambria"/>
        </w:rPr>
        <w:t xml:space="preserve">Reglamentos específicos del Paquete de Higiene:</w:t>
      </w:r>
    </w:p>
    <w:p>
      <w:pPr>
        <w:numPr>
          <w:ilvl w:val="1"/>
          <w:numId w:val="1"/>
        </w:numPr>
        <w:jc w:val="both"/>
        <w:rPr>
          <w:rFonts w:ascii="Cambria" w:hAnsi="Cambria"/>
        </w:rPr>
      </w:pPr>
      <w:r>
        <w:rPr>
          <w:rFonts w:ascii="Cambria" w:hAnsi="Cambria"/>
          <w:b/>
          <w:bCs/>
        </w:rPr>
        <w:t xml:space="preserve">Reglamento (CE) 852/2004</w:t>
      </w:r>
      <w:r>
        <w:rPr>
          <w:rFonts w:ascii="Cambria" w:hAnsi="Cambria"/>
        </w:rPr>
        <w:t xml:space="preserve">, sobre la higiene de los productos alimenticios y la obligatoriedad del autocontrol HACCP, salvo en producción primaria</w:t>
      </w:r>
    </w:p>
    <w:p>
      <w:pPr>
        <w:numPr>
          <w:ilvl w:val="1"/>
          <w:numId w:val="1"/>
        </w:numPr>
        <w:jc w:val="both"/>
        <w:rPr>
          <w:rFonts w:ascii="Cambria" w:hAnsi="Cambria"/>
        </w:rPr>
      </w:pPr>
      <w:r>
        <w:rPr>
          <w:rFonts w:ascii="Cambria" w:hAnsi="Cambria"/>
          <w:b/>
          <w:bCs/>
        </w:rPr>
        <w:t xml:space="preserve">Reglamento (CE) 853/2004</w:t>
      </w:r>
      <w:r>
        <w:rPr>
          <w:rFonts w:ascii="Cambria" w:hAnsi="Cambria"/>
        </w:rPr>
        <w:t xml:space="preserve">, sobre normas específicas de higiene de los alimentos de origen animal</w:t>
      </w:r>
    </w:p>
    <w:p>
      <w:pPr>
        <w:numPr>
          <w:ilvl w:val="1"/>
          <w:numId w:val="1"/>
        </w:numPr>
        <w:jc w:val="both"/>
        <w:rPr>
          <w:rFonts w:ascii="Cambria" w:hAnsi="Cambria"/>
        </w:rPr>
      </w:pPr>
      <w:r>
        <w:rPr>
          <w:rFonts w:ascii="Cambria" w:hAnsi="Cambria"/>
          <w:b/>
          <w:bCs/>
        </w:rPr>
        <w:t xml:space="preserve">Reglamento (UE) 2017/625</w:t>
      </w:r>
      <w:r>
        <w:rPr>
          <w:rFonts w:ascii="Cambria" w:hAnsi="Cambria"/>
        </w:rPr>
        <w:t xml:space="preserve">, sobre controles oficiales en materia de alimentos y piensos, y ha sido actualizado por reglamentos delegados como el </w:t>
      </w:r>
      <w:r>
        <w:rPr>
          <w:rFonts w:ascii="Cambria" w:hAnsi="Cambria"/>
          <w:b/>
          <w:bCs/>
        </w:rPr>
        <w:t xml:space="preserve">(UE) 2019/2127</w:t>
      </w:r>
    </w:p>
    <w:p>
      <w:pPr>
        <w:pStyle w:val="Ttulo2"/>
        <w:jc w:val="both"/>
        <w:rPr>
          <w:rFonts w:ascii="Cambria" w:hAnsi="Cambria"/>
          <w:b/>
          <w:bCs/>
          <w:color w:val="auto"/>
          <w:sz w:val="24"/>
          <w:szCs w:val="24"/>
        </w:rPr>
      </w:pPr>
      <w:r>
        <w:rPr>
          <w:rFonts w:ascii="Cambria" w:hAnsi="Cambria"/>
          <w:b/>
          <w:bCs/>
          <w:color w:val="auto"/>
          <w:sz w:val="24"/>
          <w:szCs w:val="24"/>
        </w:rPr>
        <w:t xml:space="preserve">4.2. Legislación nacional</w:t>
      </w:r>
    </w:p>
    <w:p>
      <w:pPr>
        <w:numPr>
          <w:ilvl w:val="0"/>
          <w:numId w:val="1"/>
        </w:numPr>
        <w:jc w:val="both"/>
        <w:rPr>
          <w:rFonts w:ascii="Cambria" w:hAnsi="Cambria"/>
        </w:rPr>
      </w:pPr>
      <w:r>
        <w:rPr>
          <w:rFonts w:ascii="Cambria" w:hAnsi="Cambria"/>
        </w:rPr>
        <w:t xml:space="preserve">El </w:t>
      </w:r>
      <w:r>
        <w:rPr>
          <w:rFonts w:ascii="Cambria" w:hAnsi="Cambria"/>
          <w:b/>
          <w:bCs/>
        </w:rPr>
        <w:t xml:space="preserve">Real Decreto 640/2006</w:t>
      </w:r>
      <w:r>
        <w:rPr>
          <w:rFonts w:ascii="Cambria" w:hAnsi="Cambria"/>
        </w:rPr>
        <w:t xml:space="preserve"> regula las condiciones de aplicación en España de los Reglamentos comunitarios del Paquete de Higiene</w:t>
      </w:r>
    </w:p>
    <w:p>
      <w:pPr>
        <w:numPr>
          <w:ilvl w:val="0"/>
          <w:numId w:val="1"/>
        </w:numPr>
        <w:jc w:val="both"/>
        <w:rPr>
          <w:rFonts w:ascii="Cambria" w:hAnsi="Cambria"/>
        </w:rPr>
      </w:pPr>
      <w:r>
        <w:rPr>
          <w:rFonts w:ascii="Cambria" w:hAnsi="Cambria"/>
        </w:rPr>
        <w:t xml:space="preserve">La </w:t>
      </w:r>
      <w:r>
        <w:rPr>
          <w:rFonts w:ascii="Cambria" w:hAnsi="Cambria"/>
          <w:b/>
          <w:bCs/>
        </w:rPr>
        <w:t xml:space="preserve">Agencia Española de Seguridad Alimentaria y Nutrición (AESAN)</w:t>
      </w:r>
      <w:r>
        <w:rPr>
          <w:rFonts w:ascii="Cambria" w:hAnsi="Cambria"/>
        </w:rPr>
        <w:t xml:space="preserve">, creada por la </w:t>
      </w:r>
      <w:r>
        <w:rPr>
          <w:rFonts w:ascii="Cambria" w:hAnsi="Cambria"/>
          <w:b/>
          <w:bCs/>
        </w:rPr>
        <w:t xml:space="preserve">Ley 11/2001</w:t>
      </w:r>
      <w:r>
        <w:rPr>
          <w:rFonts w:ascii="Cambria" w:hAnsi="Cambria"/>
        </w:rPr>
        <w:t xml:space="preserve">, es un Organismo Autónomo adscrito al Ministerio de Derechos Sociales, Consumo y Agenda 2030, con esquema orgánico fijado en los </w:t>
      </w:r>
      <w:r>
        <w:rPr>
          <w:rFonts w:ascii="Cambria" w:hAnsi="Cambria"/>
          <w:b/>
          <w:bCs/>
        </w:rPr>
        <w:t xml:space="preserve">Reales Decretos 495/2020 y 209/2024</w:t>
      </w:r>
      <w:r>
        <w:rPr>
          <w:rFonts w:ascii="Cambria" w:hAnsi="Cambria"/>
        </w:rPr>
        <w:t xml:space="preserve">, compartiendo competencias con la Dirección General de Consumo</w:t>
      </w:r>
    </w:p>
    <w:p>
      <w:pPr>
        <w:pStyle w:val="Ttulo2"/>
        <w:jc w:val="both"/>
        <w:rPr>
          <w:rFonts w:ascii="Cambria" w:hAnsi="Cambria"/>
          <w:b/>
          <w:bCs/>
          <w:color w:val="auto"/>
          <w:sz w:val="24"/>
          <w:szCs w:val="24"/>
        </w:rPr>
      </w:pPr>
      <w:r>
        <w:rPr>
          <w:rFonts w:ascii="Cambria" w:hAnsi="Cambria"/>
          <w:b/>
          <w:bCs/>
          <w:color w:val="auto"/>
          <w:sz w:val="24"/>
          <w:szCs w:val="24"/>
        </w:rPr>
        <w:t xml:space="preserve">4.3. Legislación internacional</w:t>
      </w:r>
    </w:p>
    <w:p>
      <w:pPr>
        <w:numPr>
          <w:ilvl w:val="0"/>
          <w:numId w:val="1"/>
        </w:numPr>
        <w:jc w:val="both"/>
        <w:rPr>
          <w:rFonts w:ascii="Cambria" w:hAnsi="Cambria"/>
        </w:rPr>
      </w:pPr>
      <w:r>
        <w:rPr>
          <w:rFonts w:ascii="Cambria" w:hAnsi="Cambria"/>
        </w:rPr>
        <w:t xml:space="preserve">La norma </w:t>
      </w:r>
      <w:r>
        <w:rPr>
          <w:rFonts w:ascii="Cambria" w:hAnsi="Cambria"/>
          <w:b/>
          <w:bCs/>
        </w:rPr>
        <w:t xml:space="preserve">UNE-EN ISO 22000:2018</w:t>
      </w:r>
      <w:r>
        <w:rPr>
          <w:rFonts w:ascii="Cambria" w:hAnsi="Cambria"/>
        </w:rPr>
        <w:t xml:space="preserve"> integra los principios del HACCP en un sistema global de gestión de la seguridad alimentaria, combinando la metodología del Codex Alimentarius con la estructura de alto nivel de las normas de gestión</w:t>
      </w:r>
    </w:p>
    <w:p>
      <w:pPr>
        <w:numPr>
          <w:ilvl w:val="0"/>
          <w:numId w:val="1"/>
        </w:numPr>
        <w:jc w:val="both"/>
        <w:rPr>
          <w:rFonts w:ascii="Cambria" w:hAnsi="Cambria"/>
        </w:rPr>
      </w:pPr>
      <w:r>
        <w:rPr>
          <w:rFonts w:ascii="Cambria" w:hAnsi="Cambria"/>
        </w:rPr>
        <w:t xml:space="preserve">Sus objetivos son reforzar la protección del consumidor, integrar los Programas de Prerrequisitos (PPR) con los principios HACCP y facilitar la certificación voluntaria y la trazabilidad internacional</w:t>
      </w:r>
    </w:p>
    <w:p>
      <w:pPr>
        <w:pStyle w:val="Ttulo1"/>
        <w:jc w:val="both"/>
        <w:rPr>
          <w:rFonts w:ascii="Cambria" w:hAnsi="Cambria"/>
          <w:b/>
          <w:bCs/>
          <w:color w:val="auto"/>
          <w:sz w:val="28"/>
          <w:szCs w:val="28"/>
        </w:rPr>
      </w:pPr>
      <w:r>
        <w:rPr>
          <w:rFonts w:ascii="Cambria" w:hAnsi="Cambria"/>
          <w:b/>
          <w:bCs/>
          <w:color w:val="auto"/>
          <w:sz w:val="28"/>
          <w:szCs w:val="28"/>
        </w:rPr>
        <w:t xml:space="preserve">5. CONCLUSIÓN</w:t>
      </w:r>
    </w:p>
    <w:p>
      <w:pPr>
        <w:numPr>
          <w:ilvl w:val="0"/>
          <w:numId w:val="1"/>
        </w:numPr>
        <w:jc w:val="both"/>
        <w:rPr>
          <w:rFonts w:ascii="Cambria" w:hAnsi="Cambria"/>
        </w:rPr>
      </w:pPr>
      <w:r>
        <w:rPr>
          <w:rFonts w:ascii="Cambria" w:hAnsi="Cambria"/>
        </w:rPr>
        <w:t xml:space="preserve">El Sistema HACCP se consolida como eje central de la inocuidad alimentaria en el comercio mundial, con exigencia obligatoria en la UE desde el Reglamento (CE) 852/2004</w:t>
      </w:r>
    </w:p>
    <w:p>
      <w:pPr>
        <w:numPr>
          <w:ilvl w:val="0"/>
          <w:numId w:val="1"/>
        </w:numPr>
        <w:jc w:val="both"/>
        <w:rPr>
          <w:rFonts w:ascii="Cambria" w:hAnsi="Cambria"/>
        </w:rPr>
      </w:pPr>
      <w:r>
        <w:rPr>
          <w:rFonts w:ascii="Cambria" w:hAnsi="Cambria"/>
        </w:rPr>
        <w:t xml:space="preserve">La revisión del Codex (CXC 1-1969) y el despliegue de la norma ISO 22000:2018 muestran la evolución dinámica de la seguridad alimentaria</w:t>
      </w:r>
    </w:p>
    <w:p>
      <w:pPr>
        <w:numPr>
          <w:ilvl w:val="0"/>
          <w:numId w:val="1"/>
        </w:numPr>
        <w:jc w:val="both"/>
        <w:rPr>
          <w:rFonts w:ascii="Cambria" w:hAnsi="Cambria"/>
        </w:rPr>
      </w:pPr>
      <w:r>
        <w:rPr>
          <w:rFonts w:ascii="Cambria" w:hAnsi="Cambria"/>
        </w:rPr>
        <w:t xml:space="preserve">Para el </w:t>
      </w:r>
      <w:r>
        <w:rPr>
          <w:rFonts w:ascii="Cambria" w:hAnsi="Cambria"/>
          <w:b/>
          <w:bCs/>
        </w:rPr>
        <w:t xml:space="preserve">Servicio de Inspección SOIVRE</w:t>
      </w:r>
      <w:r>
        <w:rPr>
          <w:rFonts w:ascii="Cambria" w:hAnsi="Cambria"/>
        </w:rPr>
        <w:t xml:space="preserve">, el control del HACCP y la verificación de la trazabilidad constituyen elementos determinantes en las inspecciones de inocuidad y calidad comercial en importación y exportación</w:t>
      </w:r>
    </w:p>
    <w:sectPr w:rsidR="00A65383" w:rsidRPr="007114D7">
      <w:footerReference w:type="default" r:id="rId90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E737" w14:textId="77777777" w:rsidR="00F85B76" w:rsidRDefault="00F85B76" w:rsidP="00F85B76">
      <w:pPr>
        <w:spacing w:after="0" w:line="240" w:lineRule="auto"/>
      </w:pPr>
      <w:r>
        <w:separator/>
      </w:r>
    </w:p>
  </w:endnote>
  <w:endnote w:type="continuationSeparator" w:id="0">
    <w:p w14:paraId="147C91B0" w14:textId="77777777" w:rsidR="00F85B76" w:rsidRDefault="00F85B76" w:rsidP="00F8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http://schemas.openxmlformats.org/wordprocessingml/2006/main">
  <w:p>
    <w:pPr>
      <w:pStyle w:val="Piedepgina"/>
      <w:jc w:val="center"/>
      <w:rPr>
        <w:rFonts w:ascii="Palatino Linotype" w:eastAsia="Palatino Linotype" w:hAnsi="Palatino Linotype" w:cs="Palatino Linotype"/>
        <w:b/>
        <w:bCs/>
        <w:color w:val="000000"/>
        <w:sz w:val="24"/>
        <w:szCs w:val="24"/>
      </w:rPr>
    </w:pPr>
    <w:r>
      <w:rPr>
        <w:rFonts w:ascii="Palatino Linotype" w:eastAsia="Palatino Linotype" w:hAnsi="Palatino Linotype" w:cs="Palatino Linotype"/>
        <w:b/>
        <w:bCs/>
        <w:color w:val="000000"/>
        <w:sz w:val="24"/>
        <w:szCs w:val="24"/>
      </w:rPr>
      <w:t>SERGIO ARGUDO SANTIAGO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A500" w14:textId="77777777" w:rsidR="00F85B76" w:rsidRDefault="00F85B76" w:rsidP="00F85B76">
      <w:pPr>
        <w:spacing w:after="0" w:line="240" w:lineRule="auto"/>
      </w:pPr>
      <w:r>
        <w:separator/>
      </w:r>
    </w:p>
  </w:footnote>
  <w:footnote w:type="continuationSeparator" w:id="0">
    <w:p w14:paraId="5EBB74E5" w14:textId="77777777" w:rsidR="00F85B76" w:rsidRDefault="00F85B76" w:rsidP="00F85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jc w:val="both"/>
      <w:rPr>
        <w:rFonts w:ascii="Palatino Linotype" w:hAnsi="Palatino Linotype"/>
        <w:i/>
        <w:iCs/>
      </w:rPr>
    </w:pPr>
    <w:r>
      <w:rPr>
        <w:rFonts w:ascii="Palatino Linotype" w:hAnsi="Palatino Linotype"/>
        <w:i/>
        <w:iCs/>
      </w:rPr>
      <w:t xml:space="preserve">TEMA 55 – Control higiénico-sanitario basado en el sistema APPCC (Análisis de Peligros y Puntos Críticos de Control). Aplicación del sistema APPCC en la industria agroalimentaria de productos no transformados y transformados. Legislación comunitaria y nacional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A5E"/>
    <w:multiLevelType w:val="multilevel"/>
    <w:tmpl w:val="17686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A086D"/>
    <w:multiLevelType w:val="multilevel"/>
    <w:tmpl w:val="C636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64527"/>
    <w:multiLevelType w:val="multilevel"/>
    <w:tmpl w:val="4484D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9671D"/>
    <w:multiLevelType w:val="multilevel"/>
    <w:tmpl w:val="FF7AB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45E70"/>
    <w:multiLevelType w:val="multilevel"/>
    <w:tmpl w:val="4CF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AA3"/>
    <w:multiLevelType w:val="multilevel"/>
    <w:tmpl w:val="E600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72879"/>
    <w:multiLevelType w:val="multilevel"/>
    <w:tmpl w:val="C3DA2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5A7F"/>
    <w:multiLevelType w:val="multilevel"/>
    <w:tmpl w:val="EE363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90683"/>
    <w:multiLevelType w:val="multilevel"/>
    <w:tmpl w:val="F0EA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F2D55"/>
    <w:multiLevelType w:val="multilevel"/>
    <w:tmpl w:val="BCE4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C63FF"/>
    <w:multiLevelType w:val="multilevel"/>
    <w:tmpl w:val="10A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A721B"/>
    <w:multiLevelType w:val="multilevel"/>
    <w:tmpl w:val="9654A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D13DD"/>
    <w:multiLevelType w:val="multilevel"/>
    <w:tmpl w:val="88A6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2984031">
    <w:abstractNumId w:val="7"/>
  </w:num>
  <w:num w:numId="2" w16cid:durableId="936329550">
    <w:abstractNumId w:val="4"/>
  </w:num>
  <w:num w:numId="3" w16cid:durableId="11223434">
    <w:abstractNumId w:val="0"/>
  </w:num>
  <w:num w:numId="4" w16cid:durableId="1698307743">
    <w:abstractNumId w:val="12"/>
  </w:num>
  <w:num w:numId="5" w16cid:durableId="1213886216">
    <w:abstractNumId w:val="11"/>
  </w:num>
  <w:num w:numId="6" w16cid:durableId="1037045334">
    <w:abstractNumId w:val="6"/>
  </w:num>
  <w:num w:numId="7" w16cid:durableId="638070075">
    <w:abstractNumId w:val="3"/>
  </w:num>
  <w:num w:numId="8" w16cid:durableId="616715768">
    <w:abstractNumId w:val="10"/>
  </w:num>
  <w:num w:numId="9" w16cid:durableId="1616985504">
    <w:abstractNumId w:val="9"/>
  </w:num>
  <w:num w:numId="10" w16cid:durableId="1055738181">
    <w:abstractNumId w:val="8"/>
  </w:num>
  <w:num w:numId="11" w16cid:durableId="928273277">
    <w:abstractNumId w:val="1"/>
  </w:num>
  <w:num w:numId="12" w16cid:durableId="919099836">
    <w:abstractNumId w:val="2"/>
  </w:num>
  <w:num w:numId="13" w16cid:durableId="522478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B76"/>
    <w:rsid w:val="00457D88"/>
    <w:rsid w:val="005803BC"/>
    <w:rsid w:val="00600D28"/>
    <w:rsid w:val="00656837"/>
    <w:rsid w:val="006A0D39"/>
    <w:rsid w:val="007114D7"/>
    <w:rsid w:val="00975640"/>
    <w:rsid w:val="00A65383"/>
    <w:rsid w:val="00A8675C"/>
    <w:rsid w:val="00BB1DEC"/>
    <w:rsid w:val="00C12CFD"/>
    <w:rsid w:val="00D45530"/>
    <w:rsid w:val="00E15422"/>
    <w:rsid w:val="00E7657A"/>
    <w:rsid w:val="00EE6C5F"/>
    <w:rsid w:val="00F85B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F6C1"/>
  <w15:chartTrackingRefBased/>
  <w15:docId w15:val="{B64D109C-3694-4C93-A841-AE8DEB4F8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5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B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B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B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B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B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B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B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85B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5B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B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B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B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B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B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B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B76"/>
    <w:rPr>
      <w:rFonts w:eastAsiaTheme="majorEastAsia" w:cstheme="majorBidi"/>
      <w:color w:val="272727" w:themeColor="text1" w:themeTint="D8"/>
    </w:rPr>
  </w:style>
  <w:style w:type="paragraph" w:styleId="Ttulo">
    <w:name w:val="Title"/>
    <w:basedOn w:val="Normal"/>
    <w:next w:val="Normal"/>
    <w:link w:val="TtuloCar"/>
    <w:uiPriority w:val="10"/>
    <w:qFormat/>
    <w:rsid w:val="00F85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B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B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B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B76"/>
    <w:pPr>
      <w:spacing w:before="160"/>
      <w:jc w:val="center"/>
    </w:pPr>
    <w:rPr>
      <w:i/>
      <w:iCs/>
      <w:color w:val="404040" w:themeColor="text1" w:themeTint="BF"/>
    </w:rPr>
  </w:style>
  <w:style w:type="character" w:customStyle="1" w:styleId="CitaCar">
    <w:name w:val="Cita Car"/>
    <w:basedOn w:val="Fuentedeprrafopredeter"/>
    <w:link w:val="Cita"/>
    <w:uiPriority w:val="29"/>
    <w:rsid w:val="00F85B76"/>
    <w:rPr>
      <w:i/>
      <w:iCs/>
      <w:color w:val="404040" w:themeColor="text1" w:themeTint="BF"/>
    </w:rPr>
  </w:style>
  <w:style w:type="character" w:styleId="nfasisintenso">
    <w:name w:val="Intense Emphasis"/>
    <w:basedOn w:val="Fuentedeprrafopredeter"/>
    <w:uiPriority w:val="21"/>
    <w:qFormat/>
    <w:rsid w:val="00F85B76"/>
    <w:rPr>
      <w:i/>
      <w:iCs/>
      <w:color w:val="0F4761" w:themeColor="accent1" w:themeShade="BF"/>
    </w:rPr>
  </w:style>
  <w:style w:type="paragraph" w:styleId="Citadestacada">
    <w:name w:val="Intense Quote"/>
    <w:basedOn w:val="Normal"/>
    <w:next w:val="Normal"/>
    <w:link w:val="CitadestacadaCar"/>
    <w:uiPriority w:val="30"/>
    <w:qFormat/>
    <w:rsid w:val="00F85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B76"/>
    <w:rPr>
      <w:i/>
      <w:iCs/>
      <w:color w:val="0F4761" w:themeColor="accent1" w:themeShade="BF"/>
    </w:rPr>
  </w:style>
  <w:style w:type="character" w:styleId="Referenciaintensa">
    <w:name w:val="Intense Reference"/>
    <w:basedOn w:val="Fuentedeprrafopredeter"/>
    <w:uiPriority w:val="32"/>
    <w:qFormat/>
    <w:rsid w:val="00F85B76"/>
    <w:rPr>
      <w:b/>
      <w:bCs/>
      <w:smallCaps/>
      <w:color w:val="0F4761" w:themeColor="accent1" w:themeShade="BF"/>
      <w:spacing w:val="5"/>
    </w:rPr>
  </w:style>
  <w:style w:type="paragraph" w:styleId="Encabezado">
    <w:name w:val="header"/>
    <w:basedOn w:val="Normal"/>
    <w:link w:val="EncabezadoCar"/>
    <w:uiPriority w:val="99"/>
    <w:unhideWhenUsed/>
    <w:rsid w:val="00F85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B76"/>
  </w:style>
  <w:style w:type="paragraph" w:styleId="Piedepgina">
    <w:name w:val="footer"/>
    <w:basedOn w:val="Normal"/>
    <w:link w:val="PiedepginaCar"/>
    <w:uiPriority w:val="99"/>
    <w:unhideWhenUsed/>
    <w:rsid w:val="00F85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90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1112</Words>
  <Characters>6119</Characters>
  <Application>Microsoft Office Word</Application>
  <DocSecurity>0</DocSecurity>
  <Lines>50</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9</cp:revision>
  <dcterms:created xsi:type="dcterms:W3CDTF">2025-11-21T17:54:00Z</dcterms:created>
  <dcterms:modified xsi:type="dcterms:W3CDTF">2026-01-14T14:24:00Z</dcterms:modified>
</cp:coreProperties>
</file>