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sector cárnico se ha visto transformado por la reforma de la </w:t>
      </w:r>
      <w:r>
        <w:rPr>
          <w:rFonts w:ascii="Cambria" w:hAnsi="Cambria"/>
          <w:b/>
          <w:bCs/>
        </w:rPr>
        <w:t xml:space="preserve">PAC</w:t>
      </w:r>
      <w:r>
        <w:rPr>
          <w:rFonts w:ascii="Cambria" w:hAnsi="Cambria"/>
        </w:rPr>
        <w:t xml:space="preserve">, orientada a transparencia, calidad, seguridad, medio ambiente y bienestar animal, y por la política europea </w:t>
      </w:r>
      <w:r>
        <w:rPr>
          <w:rFonts w:ascii="Cambria" w:hAnsi="Cambria"/>
          <w:b/>
          <w:bCs/>
        </w:rPr>
        <w:t xml:space="preserve">"de la granja a la mesa"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Plan de Internacionalización del Sector Agroalimentario</w:t>
      </w:r>
      <w:r>
        <w:rPr>
          <w:rFonts w:ascii="Cambria" w:hAnsi="Cambria"/>
        </w:rPr>
        <w:t xml:space="preserve">, a través del </w:t>
      </w:r>
      <w:r>
        <w:rPr>
          <w:rFonts w:ascii="Cambria" w:hAnsi="Cambria"/>
          <w:b/>
          <w:bCs/>
        </w:rPr>
        <w:t xml:space="preserve">GTISA</w:t>
      </w:r>
      <w:r>
        <w:rPr>
          <w:rFonts w:ascii="Cambria" w:hAnsi="Cambria"/>
        </w:rPr>
        <w:t xml:space="preserve"> (MAPA), incluye un Grupo de Trabajo para el sector cárnico centrado en eliminar barreras comerciales, consolidar y abrir mercados y promocionar los productos españoles.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tema aborda la descripción de la carne de abasto y otros productos cárnicos, los factores de calidad comercial y la normativa aplicable.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DESCRIPCIÓN DE LOS PRINCIPALES PRODUCTOS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2.1. Ganado vacuno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Doble aprovechamiento (carne y leche). Razas: </w:t>
      </w:r>
      <w:r>
        <w:rPr>
          <w:rFonts w:ascii="Cambria" w:hAnsi="Cambria"/>
          <w:b/>
          <w:bCs/>
        </w:rPr>
        <w:t xml:space="preserve">Asturiana de los valles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Rubia gallega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Avileña negra ibérica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Extremeña Retinta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Tipos según edad: lechal (8 meses), añojo (1-2 años), novillo (2-3 años) y vacuno mayor.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Canal</w:t>
      </w:r>
      <w:r>
        <w:rPr>
          <w:rFonts w:ascii="Cambria" w:hAnsi="Cambria"/>
        </w:rPr>
        <w:t xml:space="preserve">: cuerpo del animal sacrificado, eviscerado y desollado.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Clasificación </w:t>
      </w:r>
      <w:r>
        <w:rPr>
          <w:rFonts w:ascii="Cambria" w:hAnsi="Cambria"/>
          <w:b/>
          <w:bCs/>
        </w:rPr>
        <w:t xml:space="preserve">SEUROP</w:t>
      </w:r>
      <w:r>
        <w:rPr>
          <w:rFonts w:ascii="Cambria" w:hAnsi="Cambria"/>
        </w:rPr>
        <w:t xml:space="preserve"> según desarrollo muscular: </w:t>
      </w:r>
      <w:r>
        <w:rPr>
          <w:rFonts w:ascii="Cambria" w:hAnsi="Cambria"/>
          <w:b/>
          <w:bCs/>
        </w:rPr>
        <w:t xml:space="preserve">S</w:t>
      </w:r>
      <w:r>
        <w:rPr>
          <w:rFonts w:ascii="Cambria" w:hAnsi="Cambria"/>
        </w:rPr>
        <w:t xml:space="preserve">uperior, </w:t>
      </w:r>
      <w:r>
        <w:rPr>
          <w:rFonts w:ascii="Cambria" w:hAnsi="Cambria"/>
          <w:b/>
          <w:bCs/>
        </w:rPr>
        <w:t xml:space="preserve">E</w:t>
      </w:r>
      <w:r>
        <w:rPr>
          <w:rFonts w:ascii="Cambria" w:hAnsi="Cambria"/>
        </w:rPr>
        <w:t xml:space="preserve">xcelente, </w:t>
      </w:r>
      <w:r>
        <w:rPr>
          <w:rFonts w:ascii="Cambria" w:hAnsi="Cambria"/>
          <w:b/>
          <w:bCs/>
        </w:rPr>
        <w:t xml:space="preserve">U</w:t>
      </w:r>
      <w:r>
        <w:rPr>
          <w:rFonts w:ascii="Cambria" w:hAnsi="Cambria"/>
        </w:rPr>
        <w:t xml:space="preserve"> muy buena, </w:t>
      </w:r>
      <w:r>
        <w:rPr>
          <w:rFonts w:ascii="Cambria" w:hAnsi="Cambria"/>
          <w:b/>
          <w:bCs/>
        </w:rPr>
        <w:t xml:space="preserve">R</w:t>
      </w:r>
      <w:r>
        <w:rPr>
          <w:rFonts w:ascii="Cambria" w:hAnsi="Cambria"/>
        </w:rPr>
        <w:t xml:space="preserve"> buena, </w:t>
      </w:r>
      <w:r>
        <w:rPr>
          <w:rFonts w:ascii="Cambria" w:hAnsi="Cambria"/>
          <w:b/>
          <w:bCs/>
        </w:rPr>
        <w:t xml:space="preserve">O</w:t>
      </w:r>
      <w:r>
        <w:rPr>
          <w:rFonts w:ascii="Cambria" w:hAnsi="Cambria"/>
        </w:rPr>
        <w:t xml:space="preserve"> suficiente, </w:t>
      </w:r>
      <w:r>
        <w:rPr>
          <w:rFonts w:ascii="Cambria" w:hAnsi="Cambria"/>
          <w:b/>
          <w:bCs/>
        </w:rPr>
        <w:t xml:space="preserve">P</w:t>
      </w:r>
      <w:r>
        <w:rPr>
          <w:rFonts w:ascii="Cambria" w:hAnsi="Cambria"/>
        </w:rPr>
        <w:t xml:space="preserve"> insuficiente, con grados de engrasamiento de débil a muy alto.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Categorías UE para vacuno pesado (&gt;300 kg): </w:t>
      </w:r>
      <w:r>
        <w:rPr>
          <w:rFonts w:ascii="Cambria" w:hAnsi="Cambria"/>
          <w:b/>
          <w:bCs/>
        </w:rPr>
        <w:t xml:space="preserve">A</w:t>
      </w:r>
      <w:r>
        <w:rPr>
          <w:rFonts w:ascii="Cambria" w:hAnsi="Cambria"/>
        </w:rPr>
        <w:t xml:space="preserve"> machos sin castrar 12-24 meses, </w:t>
      </w:r>
      <w:r>
        <w:rPr>
          <w:rFonts w:ascii="Cambria" w:hAnsi="Cambria"/>
          <w:b/>
          <w:bCs/>
        </w:rPr>
        <w:t xml:space="preserve">B</w:t>
      </w:r>
      <w:r>
        <w:rPr>
          <w:rFonts w:ascii="Cambria" w:hAnsi="Cambria"/>
        </w:rPr>
        <w:t xml:space="preserve"> machos sin castrar ≥24 meses, </w:t>
      </w:r>
      <w:r>
        <w:rPr>
          <w:rFonts w:ascii="Cambria" w:hAnsi="Cambria"/>
          <w:b/>
          <w:bCs/>
        </w:rPr>
        <w:t xml:space="preserve">C</w:t>
      </w:r>
      <w:r>
        <w:rPr>
          <w:rFonts w:ascii="Cambria" w:hAnsi="Cambria"/>
        </w:rPr>
        <w:t xml:space="preserve"> machos castrados ≥12 meses, </w:t>
      </w:r>
      <w:r>
        <w:rPr>
          <w:rFonts w:ascii="Cambria" w:hAnsi="Cambria"/>
          <w:b/>
          <w:bCs/>
        </w:rPr>
        <w:t xml:space="preserve">D</w:t>
      </w:r>
      <w:r>
        <w:rPr>
          <w:rFonts w:ascii="Cambria" w:hAnsi="Cambria"/>
        </w:rPr>
        <w:t xml:space="preserve"> hembras que hayan parido, </w:t>
      </w:r>
      <w:r>
        <w:rPr>
          <w:rFonts w:ascii="Cambria" w:hAnsi="Cambria"/>
          <w:b/>
          <w:bCs/>
        </w:rPr>
        <w:t xml:space="preserve">E</w:t>
      </w:r>
      <w:r>
        <w:rPr>
          <w:rFonts w:ascii="Cambria" w:hAnsi="Cambria"/>
        </w:rPr>
        <w:t xml:space="preserve"> otras hembras ≥12 meses, </w:t>
      </w:r>
      <w:r>
        <w:rPr>
          <w:rFonts w:ascii="Cambria" w:hAnsi="Cambria"/>
          <w:b/>
          <w:bCs/>
        </w:rPr>
        <w:t xml:space="preserve">Z</w:t>
      </w:r>
      <w:r>
        <w:rPr>
          <w:rFonts w:ascii="Cambria" w:hAnsi="Cambria"/>
        </w:rPr>
        <w:t xml:space="preserve"> animales de 8 a menos de 12 meses.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2.2. Ganado porcino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Especie más suministradora de carne del mundo, con aprovechamiento superior al </w:t>
      </w:r>
      <w:r>
        <w:rPr>
          <w:rFonts w:ascii="Cambria" w:hAnsi="Cambria"/>
          <w:b/>
          <w:bCs/>
        </w:rPr>
        <w:t xml:space="preserve">95%</w:t>
      </w:r>
      <w:r>
        <w:rPr>
          <w:rFonts w:ascii="Cambria" w:hAnsi="Cambria"/>
        </w:rPr>
        <w:t xml:space="preserve"> y rendimiento en canal del </w:t>
      </w:r>
      <w:r>
        <w:rPr>
          <w:rFonts w:ascii="Cambria" w:hAnsi="Cambria"/>
          <w:b/>
          <w:bCs/>
        </w:rPr>
        <w:t xml:space="preserve">75-80%</w:t>
      </w:r>
      <w:r>
        <w:rPr>
          <w:rFonts w:ascii="Cambria" w:hAnsi="Cambria"/>
        </w:rPr>
        <w:t xml:space="preserve">, en tres bloques genéticos y unas </w:t>
      </w:r>
      <w:r>
        <w:rPr>
          <w:rFonts w:ascii="Cambria" w:hAnsi="Cambria"/>
          <w:b/>
          <w:bCs/>
        </w:rPr>
        <w:t xml:space="preserve">300 razas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Razas españolas: extremeña negra, andaluza rubia y manchada, extremeña retinta. Foráneas: </w:t>
      </w:r>
      <w:r>
        <w:rPr>
          <w:rFonts w:ascii="Cambria" w:hAnsi="Cambria"/>
          <w:b/>
          <w:bCs/>
        </w:rPr>
        <w:t xml:space="preserve">Large White</w:t>
      </w:r>
      <w:r>
        <w:rPr>
          <w:rFonts w:ascii="Cambria" w:hAnsi="Cambria"/>
        </w:rPr>
        <w:t xml:space="preserve"> (madre en cruces) y </w:t>
      </w:r>
      <w:r>
        <w:rPr>
          <w:rFonts w:ascii="Cambria" w:hAnsi="Cambria"/>
          <w:b/>
          <w:bCs/>
        </w:rPr>
        <w:t xml:space="preserve">Duroc</w:t>
      </w:r>
      <w:r>
        <w:rPr>
          <w:rFonts w:ascii="Cambria" w:hAnsi="Cambria"/>
        </w:rPr>
        <w:t xml:space="preserve"> (padre, carne magra).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Clasificación SEUROP según carne magra: S ≥60%, E 55-60%, U 50-55%, R 45-50%, O 40-45%, P &lt;40%.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2.3. Ganado ovino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Cuádruple aprovechamiento: lana, pieles, carne y leche. Razas de carne: aragonesa, segureña, alcarreña. Mixtas: manchega y castellana. Rendimiento de canal del 50-60%.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 está autorizada a producir corderos ligeros (&lt;13 kg), con categorías por peso y dos calidades: </w:t>
      </w:r>
      <w:r>
        <w:rPr>
          <w:rFonts w:ascii="Cambria" w:hAnsi="Cambria"/>
          <w:b/>
          <w:bCs/>
        </w:rPr>
        <w:t xml:space="preserve">A</w:t>
      </w:r>
      <w:r>
        <w:rPr>
          <w:rFonts w:ascii="Cambria" w:hAnsi="Cambria"/>
        </w:rPr>
        <w:t xml:space="preserve"> (≤7 kg, lechal), </w:t>
      </w:r>
      <w:r>
        <w:rPr>
          <w:rFonts w:ascii="Cambria" w:hAnsi="Cambria"/>
          <w:b/>
          <w:bCs/>
        </w:rPr>
        <w:t xml:space="preserve">B</w:t>
      </w:r>
      <w:r>
        <w:rPr>
          <w:rFonts w:ascii="Cambria" w:hAnsi="Cambria"/>
        </w:rPr>
        <w:t xml:space="preserve"> (7-10 kg, recental) y </w:t>
      </w:r>
      <w:r>
        <w:rPr>
          <w:rFonts w:ascii="Cambria" w:hAnsi="Cambria"/>
          <w:b/>
          <w:bCs/>
        </w:rPr>
        <w:t xml:space="preserve">C</w:t>
      </w:r>
      <w:r>
        <w:rPr>
          <w:rFonts w:ascii="Cambria" w:hAnsi="Cambria"/>
        </w:rPr>
        <w:t xml:space="preserve"> (10-13 kg, pascual ligero). El cordero &gt;13 kg sigue la clasificación SEUROP.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2.4. Ganado caprino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Cuádruple aprovechamiento: carne, leche, pieles y fibra. Razas cárnicas: Blanca andaluza y Negra serrana. Mixtas: Pirenaica, Guadarrama, Retinta extremeña.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Clasificación por edad: cabrito lechal (20-25 días), cabrito pascual (35-40 días), chivo (hasta un año) y caprino mayor.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2.5. Aves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Razas españolas de pollos y gallinas: Castellana, Prat, Menorca, Andaluza. Pavos, patos y gansos (hígado graso de oca).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2.6. Productos cárnicos elaborados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Productos cárnicos</w:t>
      </w:r>
      <w:r>
        <w:rPr>
          <w:rFonts w:ascii="Cambria" w:hAnsi="Cambria"/>
        </w:rPr>
        <w:t xml:space="preserve">: elaborados con carnes, despojos, grasas y subproductos, con ingredientes vegetales, condimentos, especias y aditivos.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Clasificación internacional: frescos, crudos adobados, embutidos crudos curados, tratados por calor, salazones, platos preparados y otros derivados.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Embutidos crudos curados</w:t>
      </w:r>
      <w:r>
        <w:rPr>
          <w:rFonts w:ascii="Cambria" w:hAnsi="Cambria"/>
        </w:rPr>
        <w:t xml:space="preserve">: carnes y grasas maduradas embutidas en tripa (salchichón, salami, chorizo, lomo).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Tratados por calor</w:t>
      </w:r>
      <w:r>
        <w:rPr>
          <w:rFonts w:ascii="Cambria" w:hAnsi="Cambria"/>
        </w:rPr>
        <w:t xml:space="preserve">: coagulación de proteínas por el calor (jamón cocido, mortadela, patés, morcillas).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Salazones</w:t>
      </w:r>
      <w:r>
        <w:rPr>
          <w:rFonts w:ascii="Cambria" w:hAnsi="Cambria"/>
        </w:rPr>
        <w:t xml:space="preserve">: acción de sal, nitratos o nitritos, con adobado, secado y ahumado opcionales (jamón curado, lacón, cecina, bacon).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FACTORES DE CALIDAD COMERCIAL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calidad comercial</w:t>
      </w:r>
      <w:r>
        <w:rPr>
          <w:rFonts w:ascii="Cambria" w:hAnsi="Cambria"/>
        </w:rPr>
        <w:t xml:space="preserve"> es el valor añadido de selección, clasificación, verificación, acondicionamiento, envasado y transporte, recogido en las </w:t>
      </w:r>
      <w:r>
        <w:rPr>
          <w:rFonts w:ascii="Cambria" w:hAnsi="Cambria"/>
          <w:b/>
          <w:bCs/>
        </w:rPr>
        <w:t xml:space="preserve">Normas de Comercialización</w:t>
      </w:r>
      <w:r>
        <w:rPr>
          <w:rFonts w:ascii="Cambria" w:hAnsi="Cambria"/>
        </w:rPr>
        <w:t xml:space="preserve"> de la UE.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Factores de la carne fresca: peso, edad, sexo, rendimiento de la canal, conformación SEUROP, engrasamiento, color, consistencia y humedad, y ausencia de defectos.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Factores de los transformados: materias primas (a mayor carne magra y menor grasa y tejido conjuntivo, mayor calidad, con límites de humedad/proteína, grasa e hidroxiprolina), proceso de elaboración, ingredientes, índices microbiológicos y hermeticidad de envases, clave en conservas.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NORMATIVA APLICABLE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4.1. Política Agrícola Común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Reglamento (UE) 1308/2013</w:t>
      </w:r>
      <w:r>
        <w:rPr>
          <w:rFonts w:ascii="Cambria" w:hAnsi="Cambria"/>
        </w:rPr>
        <w:t xml:space="preserve"> crea la </w:t>
      </w:r>
      <w:r>
        <w:rPr>
          <w:rFonts w:ascii="Cambria" w:hAnsi="Cambria"/>
          <w:b/>
          <w:bCs/>
        </w:rPr>
        <w:t xml:space="preserve">OCM Única</w:t>
      </w:r>
      <w:r>
        <w:rPr>
          <w:rFonts w:ascii="Cambria" w:hAnsi="Cambria"/>
        </w:rPr>
        <w:t xml:space="preserve">. La PAC 2023-2027 se articula mediante el </w:t>
      </w:r>
      <w:r>
        <w:rPr>
          <w:rFonts w:ascii="Cambria" w:hAnsi="Cambria"/>
          <w:b/>
          <w:bCs/>
        </w:rPr>
        <w:t xml:space="preserve">Reglamento (UE) 2021/2115</w:t>
      </w:r>
      <w:r>
        <w:rPr>
          <w:rFonts w:ascii="Cambria" w:hAnsi="Cambria"/>
        </w:rPr>
        <w:t xml:space="preserve"> (planes estratégicos, FEAGA y FEADER), el </w:t>
      </w:r>
      <w:r>
        <w:rPr>
          <w:rFonts w:ascii="Cambria" w:hAnsi="Cambria"/>
          <w:b/>
          <w:bCs/>
        </w:rPr>
        <w:t xml:space="preserve">Reglamento (UE) 2021/2116</w:t>
      </w:r>
      <w:r>
        <w:rPr>
          <w:rFonts w:ascii="Cambria" w:hAnsi="Cambria"/>
        </w:rPr>
        <w:t xml:space="preserve"> (financiación y control) y el </w:t>
      </w:r>
      <w:r>
        <w:rPr>
          <w:rFonts w:ascii="Cambria" w:hAnsi="Cambria"/>
          <w:b/>
          <w:bCs/>
        </w:rPr>
        <w:t xml:space="preserve">Reglamento (UE) 2021/2117</w:t>
      </w:r>
      <w:r>
        <w:rPr>
          <w:rFonts w:ascii="Cambria" w:hAnsi="Cambria"/>
        </w:rPr>
        <w:t xml:space="preserve"> (modifica la OCM y el régimen de calidad).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Prioriza sostenibilidad, eco-regímenes, condicionalidad reforzada y relevo generacional.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Reglamento (UE) 2017/2393</w:t>
      </w:r>
      <w:r>
        <w:rPr>
          <w:rFonts w:ascii="Cambria" w:hAnsi="Cambria"/>
        </w:rPr>
        <w:t xml:space="preserve"> (Ómnibus) simplificó la PAC anterior, con ayudas a jóvenes agricultores hasta el 50% del pago básico.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4.2. Organización Común de Mercados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Regulada por el </w:t>
      </w:r>
      <w:r>
        <w:rPr>
          <w:rFonts w:ascii="Cambria" w:hAnsi="Cambria"/>
          <w:b/>
          <w:bCs/>
        </w:rPr>
        <w:t xml:space="preserve">Reglamento (UE) 1308/2013</w:t>
      </w:r>
      <w:r>
        <w:rPr>
          <w:rFonts w:ascii="Cambria" w:hAnsi="Cambria"/>
        </w:rPr>
        <w:t xml:space="preserve">, con los principios de unidad de mercado, solidaridad financiera y preferencia comunitaria.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Establece intervención pública, ayudas al almacenamiento privado, normas de comercialización e intercambios con terceros países.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Reglamento Delegado (UE) 2017/1182</w:t>
      </w:r>
      <w:r>
        <w:rPr>
          <w:rFonts w:ascii="Cambria" w:hAnsi="Cambria"/>
        </w:rPr>
        <w:t xml:space="preserve"> fija las escalas SEUROP y la comunicación de precios, con referencia en las normas </w:t>
      </w:r>
      <w:r>
        <w:rPr>
          <w:rFonts w:ascii="Cambria" w:hAnsi="Cambria"/>
          <w:b/>
          <w:bCs/>
        </w:rPr>
        <w:t xml:space="preserve">WP7 (CEPE/UN)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Reglamento (CE) 1760/2000</w:t>
      </w:r>
      <w:r>
        <w:rPr>
          <w:rFonts w:ascii="Cambria" w:hAnsi="Cambria"/>
        </w:rPr>
        <w:t xml:space="preserve"> regula la identificación, registro y etiquetado del vacuno.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régimen de intervención corresponde al </w:t>
      </w:r>
      <w:r>
        <w:rPr>
          <w:rFonts w:ascii="Cambria" w:hAnsi="Cambria"/>
          <w:b/>
          <w:bCs/>
        </w:rPr>
        <w:t xml:space="preserve">FEGA</w:t>
      </w:r>
      <w:r>
        <w:rPr>
          <w:rFonts w:ascii="Cambria" w:hAnsi="Cambria"/>
        </w:rPr>
        <w:t xml:space="preserve"> y al </w:t>
      </w:r>
      <w:r>
        <w:rPr>
          <w:rFonts w:ascii="Cambria" w:hAnsi="Cambria"/>
          <w:b/>
          <w:bCs/>
        </w:rPr>
        <w:t xml:space="preserve">FEAGA</w:t>
      </w:r>
      <w:r>
        <w:rPr>
          <w:rFonts w:ascii="Cambria" w:hAnsi="Cambria"/>
        </w:rPr>
        <w:t xml:space="preserve">. La PAC 2023-2027 sustituye el Pago Único por el </w:t>
      </w:r>
      <w:r>
        <w:rPr>
          <w:rFonts w:ascii="Cambria" w:hAnsi="Cambria"/>
          <w:b/>
          <w:bCs/>
        </w:rPr>
        <w:t xml:space="preserve">Pago Básico a la Sostenibilidad (BISS)</w:t>
      </w:r>
      <w:r>
        <w:rPr>
          <w:rFonts w:ascii="Cambria" w:hAnsi="Cambria"/>
        </w:rPr>
        <w:t xml:space="preserve">, con eco-regímenes y </w:t>
      </w:r>
      <w:r>
        <w:rPr>
          <w:rFonts w:ascii="Cambria" w:hAnsi="Cambria"/>
          <w:b/>
          <w:bCs/>
        </w:rPr>
        <w:t xml:space="preserve">BCAM</w:t>
      </w:r>
      <w:r>
        <w:rPr>
          <w:rFonts w:ascii="Cambria" w:hAnsi="Cambria"/>
        </w:rPr>
        <w:t xml:space="preserve">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4.3. Normativa voluntaria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normas </w:t>
      </w:r>
      <w:r>
        <w:rPr>
          <w:rFonts w:ascii="Cambria" w:hAnsi="Cambria"/>
          <w:b/>
          <w:bCs/>
        </w:rPr>
        <w:t xml:space="preserve">CEPE/UN (WP7)</w:t>
      </w:r>
      <w:r>
        <w:rPr>
          <w:rFonts w:ascii="Cambria" w:hAnsi="Cambria"/>
        </w:rPr>
        <w:t xml:space="preserve"> son voluntarias y base de las normas de comercialización. El </w:t>
      </w:r>
      <w:r>
        <w:rPr>
          <w:rFonts w:ascii="Cambria" w:hAnsi="Cambria"/>
          <w:b/>
          <w:bCs/>
        </w:rPr>
        <w:t xml:space="preserve">CODEX</w:t>
      </w:r>
      <w:r>
        <w:rPr>
          <w:rFonts w:ascii="Cambria" w:hAnsi="Cambria"/>
        </w:rPr>
        <w:t xml:space="preserve"> regula el jamón curado cocido y la carne curada picada y cocida.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producción controlada</w:t>
      </w:r>
      <w:r>
        <w:rPr>
          <w:rFonts w:ascii="Cambria" w:hAnsi="Cambria"/>
        </w:rPr>
        <w:t xml:space="preserve"> se rige por normas </w:t>
      </w:r>
      <w:r>
        <w:rPr>
          <w:rFonts w:ascii="Cambria" w:hAnsi="Cambria"/>
          <w:b/>
          <w:bCs/>
        </w:rPr>
        <w:t xml:space="preserve">UNE</w:t>
      </w:r>
      <w:r>
        <w:rPr>
          <w:rFonts w:ascii="Cambria" w:hAnsi="Cambria"/>
        </w:rPr>
        <w:t xml:space="preserve"> de AENOR.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producción ecológica</w:t>
      </w:r>
      <w:r>
        <w:rPr>
          <w:rFonts w:ascii="Cambria" w:hAnsi="Cambria"/>
        </w:rPr>
        <w:t xml:space="preserve"> se regula por el </w:t>
      </w:r>
      <w:r>
        <w:rPr>
          <w:rFonts w:ascii="Cambria" w:hAnsi="Cambria"/>
          <w:b/>
          <w:bCs/>
        </w:rPr>
        <w:t xml:space="preserve">Reglamento (UE) 2018/848</w:t>
      </w:r>
      <w:r>
        <w:rPr>
          <w:rFonts w:ascii="Cambria" w:hAnsi="Cambria"/>
        </w:rPr>
        <w:t xml:space="preserve">, con el </w:t>
      </w:r>
      <w:r>
        <w:rPr>
          <w:rFonts w:ascii="Cambria" w:hAnsi="Cambria"/>
          <w:b/>
          <w:bCs/>
        </w:rPr>
        <w:t xml:space="preserve">SOIVRE</w:t>
      </w:r>
      <w:r>
        <w:rPr>
          <w:rFonts w:ascii="Cambria" w:hAnsi="Cambria"/>
        </w:rPr>
        <w:t xml:space="preserve">, según la </w:t>
      </w:r>
      <w:r>
        <w:rPr>
          <w:rFonts w:ascii="Cambria" w:hAnsi="Cambria"/>
          <w:b/>
          <w:bCs/>
        </w:rPr>
        <w:t xml:space="preserve">Orden ECC/1936/2014</w:t>
      </w:r>
      <w:r>
        <w:rPr>
          <w:rFonts w:ascii="Cambria" w:hAnsi="Cambria"/>
        </w:rPr>
        <w:t xml:space="preserve">, controlando productos agrarios, transformados y piensos.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producción integrada</w:t>
      </w:r>
      <w:r>
        <w:rPr>
          <w:rFonts w:ascii="Cambria" w:hAnsi="Cambria"/>
        </w:rPr>
        <w:t xml:space="preserve"> se rige por el </w:t>
      </w:r>
      <w:r>
        <w:rPr>
          <w:rFonts w:ascii="Cambria" w:hAnsi="Cambria"/>
          <w:b/>
          <w:bCs/>
        </w:rPr>
        <w:t xml:space="preserve">Real Decreto 1201/2002</w:t>
      </w:r>
      <w:r>
        <w:rPr>
          <w:rFonts w:ascii="Cambria" w:hAnsi="Cambria"/>
        </w:rPr>
        <w:t xml:space="preserve"> y su logotipo por la </w:t>
      </w:r>
      <w:r>
        <w:rPr>
          <w:rFonts w:ascii="Cambria" w:hAnsi="Cambria"/>
          <w:b/>
          <w:bCs/>
        </w:rPr>
        <w:t xml:space="preserve">Orden APA/1/2004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</w:t>
      </w:r>
      <w:r>
        <w:rPr>
          <w:rFonts w:ascii="Cambria" w:hAnsi="Cambria"/>
          <w:b/>
          <w:bCs/>
        </w:rPr>
        <w:t xml:space="preserve">DOP, IGP y ETG</w:t>
      </w:r>
      <w:r>
        <w:rPr>
          <w:rFonts w:ascii="Cambria" w:hAnsi="Cambria"/>
        </w:rPr>
        <w:t xml:space="preserve"> se regulan por el </w:t>
      </w:r>
      <w:r>
        <w:rPr>
          <w:rFonts w:ascii="Cambria" w:hAnsi="Cambria"/>
          <w:b/>
          <w:bCs/>
        </w:rPr>
        <w:t xml:space="preserve">Reglamento (UE) 2024/1143</w:t>
      </w:r>
      <w:r>
        <w:rPr>
          <w:rFonts w:ascii="Cambria" w:hAnsi="Cambria"/>
        </w:rPr>
        <w:t xml:space="preserve">, aplicado por la </w:t>
      </w:r>
      <w:r>
        <w:rPr>
          <w:rFonts w:ascii="Cambria" w:hAnsi="Cambria"/>
          <w:b/>
          <w:bCs/>
        </w:rPr>
        <w:t xml:space="preserve">Ley 6/2015</w:t>
      </w:r>
      <w:r>
        <w:rPr>
          <w:rFonts w:ascii="Cambria" w:hAnsi="Cambria"/>
        </w:rPr>
        <w:t xml:space="preserve">, con la </w:t>
      </w:r>
      <w:r>
        <w:rPr>
          <w:rFonts w:ascii="Cambria" w:hAnsi="Cambria"/>
          <w:b/>
          <w:bCs/>
        </w:rPr>
        <w:t xml:space="preserve">AICA</w:t>
      </w:r>
      <w:r>
        <w:rPr>
          <w:rFonts w:ascii="Cambria" w:hAnsi="Cambria"/>
        </w:rPr>
        <w:t xml:space="preserve"> como órgano de control.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4.4. Normativa específica y general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Sector cárnico: </w:t>
      </w:r>
      <w:r>
        <w:rPr>
          <w:rFonts w:ascii="Cambria" w:hAnsi="Cambria"/>
          <w:b/>
          <w:bCs/>
        </w:rPr>
        <w:t xml:space="preserve">Reglamento (CE) 1831/2003</w:t>
      </w:r>
      <w:r>
        <w:rPr>
          <w:rFonts w:ascii="Cambria" w:hAnsi="Cambria"/>
        </w:rPr>
        <w:t xml:space="preserve"> (aditivos), </w:t>
      </w:r>
      <w:r>
        <w:rPr>
          <w:rFonts w:ascii="Cambria" w:hAnsi="Cambria"/>
          <w:b/>
          <w:bCs/>
        </w:rPr>
        <w:t xml:space="preserve">Reglamento (CE) 566/2008</w:t>
      </w:r>
      <w:r>
        <w:rPr>
          <w:rFonts w:ascii="Cambria" w:hAnsi="Cambria"/>
        </w:rPr>
        <w:t xml:space="preserve"> (bovinos ≤12 meses), </w:t>
      </w:r>
      <w:r>
        <w:rPr>
          <w:rFonts w:ascii="Cambria" w:hAnsi="Cambria"/>
          <w:b/>
          <w:bCs/>
        </w:rPr>
        <w:t xml:space="preserve">Reglamento Delegado (UE) 2026/343</w:t>
      </w:r>
      <w:r>
        <w:rPr>
          <w:rFonts w:ascii="Cambria" w:hAnsi="Cambria"/>
        </w:rPr>
        <w:t xml:space="preserve"> (aves), </w:t>
      </w:r>
      <w:r>
        <w:rPr>
          <w:rFonts w:ascii="Cambria" w:hAnsi="Cambria"/>
          <w:b/>
          <w:bCs/>
        </w:rPr>
        <w:t xml:space="preserve">Real Decreto 4/2014</w:t>
      </w:r>
      <w:r>
        <w:rPr>
          <w:rFonts w:ascii="Cambria" w:hAnsi="Cambria"/>
        </w:rPr>
        <w:t xml:space="preserve"> (jamón y paleta ibéricos), </w:t>
      </w:r>
      <w:r>
        <w:rPr>
          <w:rFonts w:ascii="Cambria" w:hAnsi="Cambria"/>
          <w:b/>
          <w:bCs/>
        </w:rPr>
        <w:t xml:space="preserve">Real Decreto 474/2014</w:t>
      </w:r>
      <w:r>
        <w:rPr>
          <w:rFonts w:ascii="Cambria" w:hAnsi="Cambria"/>
        </w:rPr>
        <w:t xml:space="preserve"> (derivados cárnicos), </w:t>
      </w:r>
      <w:r>
        <w:rPr>
          <w:rFonts w:ascii="Cambria" w:hAnsi="Cambria"/>
          <w:b/>
          <w:bCs/>
        </w:rPr>
        <w:t xml:space="preserve">Real Decreto 993/2014</w:t>
      </w:r>
      <w:r>
        <w:rPr>
          <w:rFonts w:ascii="Cambria" w:hAnsi="Cambria"/>
        </w:rPr>
        <w:t xml:space="preserve"> (autocontroles SAE), </w:t>
      </w:r>
      <w:r>
        <w:rPr>
          <w:rFonts w:ascii="Cambria" w:hAnsi="Cambria"/>
          <w:b/>
          <w:bCs/>
        </w:rPr>
        <w:t xml:space="preserve">Reglamento (UE) 2016/429</w:t>
      </w:r>
      <w:r>
        <w:rPr>
          <w:rFonts w:ascii="Cambria" w:hAnsi="Cambria"/>
        </w:rPr>
        <w:t xml:space="preserve"> (sanidad animal), </w:t>
      </w:r>
      <w:r>
        <w:rPr>
          <w:rFonts w:ascii="Cambria" w:hAnsi="Cambria"/>
          <w:b/>
          <w:bCs/>
        </w:rPr>
        <w:t xml:space="preserve">Reglamento Delegado (UE) 2024/1141</w:t>
      </w:r>
      <w:r>
        <w:rPr>
          <w:rFonts w:ascii="Cambria" w:hAnsi="Cambria"/>
        </w:rPr>
        <w:t xml:space="preserve"> (higiene y carne madurada) y </w:t>
      </w:r>
      <w:r>
        <w:rPr>
          <w:rFonts w:ascii="Cambria" w:hAnsi="Cambria"/>
          <w:b/>
          <w:bCs/>
        </w:rPr>
        <w:t xml:space="preserve">Reglamento (UE) 2019/6</w:t>
      </w:r>
      <w:r>
        <w:rPr>
          <w:rFonts w:ascii="Cambria" w:hAnsi="Cambria"/>
        </w:rPr>
        <w:t xml:space="preserve"> (medicamentos veterinarios).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General: </w:t>
      </w:r>
      <w:r>
        <w:rPr>
          <w:rFonts w:ascii="Cambria" w:hAnsi="Cambria"/>
          <w:b/>
          <w:bCs/>
        </w:rPr>
        <w:t xml:space="preserve">Real Decreto 175/2004</w:t>
      </w:r>
      <w:r>
        <w:rPr>
          <w:rFonts w:ascii="Cambria" w:hAnsi="Cambria"/>
        </w:rPr>
        <w:t xml:space="preserve"> (autoridad de control), </w:t>
      </w:r>
      <w:r>
        <w:rPr>
          <w:rFonts w:ascii="Cambria" w:hAnsi="Cambria"/>
          <w:b/>
          <w:bCs/>
        </w:rPr>
        <w:t xml:space="preserve">Reglamento (CE) 396/2005</w:t>
      </w:r>
      <w:r>
        <w:rPr>
          <w:rFonts w:ascii="Cambria" w:hAnsi="Cambria"/>
        </w:rPr>
        <w:t xml:space="preserve"> (residuos de plaguicidas), </w:t>
      </w:r>
      <w:r>
        <w:rPr>
          <w:rFonts w:ascii="Cambria" w:hAnsi="Cambria"/>
          <w:b/>
          <w:bCs/>
        </w:rPr>
        <w:t xml:space="preserve">Reglamento (UE) 2023/915</w:t>
      </w:r>
      <w:r>
        <w:rPr>
          <w:rFonts w:ascii="Cambria" w:hAnsi="Cambria"/>
        </w:rPr>
        <w:t xml:space="preserve"> (contaminantes), </w:t>
      </w:r>
      <w:r>
        <w:rPr>
          <w:rFonts w:ascii="Cambria" w:hAnsi="Cambria"/>
          <w:b/>
          <w:bCs/>
        </w:rPr>
        <w:t xml:space="preserve">Reglamento (UE) 1169/2011</w:t>
      </w:r>
      <w:r>
        <w:rPr>
          <w:rFonts w:ascii="Cambria" w:hAnsi="Cambria"/>
        </w:rPr>
        <w:t xml:space="preserve"> (información al consumidor), </w:t>
      </w:r>
      <w:r>
        <w:rPr>
          <w:rFonts w:ascii="Cambria" w:hAnsi="Cambria"/>
          <w:b/>
          <w:bCs/>
        </w:rPr>
        <w:t xml:space="preserve">Real Decreto 1055/2022</w:t>
      </w:r>
      <w:r>
        <w:rPr>
          <w:rFonts w:ascii="Cambria" w:hAnsi="Cambria"/>
        </w:rPr>
        <w:t xml:space="preserve"> (envases), </w:t>
      </w:r>
      <w:r>
        <w:rPr>
          <w:rFonts w:ascii="Cambria" w:hAnsi="Cambria"/>
          <w:b/>
          <w:bCs/>
        </w:rPr>
        <w:t xml:space="preserve">Reglamentos (CE) 852 y 853/2004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Reglamento (UE) 2017/625</w:t>
      </w:r>
      <w:r>
        <w:rPr>
          <w:rFonts w:ascii="Cambria" w:hAnsi="Cambria"/>
        </w:rPr>
        <w:t xml:space="preserve"> (higiene y controles), </w:t>
      </w:r>
      <w:r>
        <w:rPr>
          <w:rFonts w:ascii="Cambria" w:hAnsi="Cambria"/>
          <w:b/>
          <w:bCs/>
        </w:rPr>
        <w:t xml:space="preserve">Ley 28/2015</w:t>
      </w:r>
      <w:r>
        <w:rPr>
          <w:rFonts w:ascii="Cambria" w:hAnsi="Cambria"/>
        </w:rPr>
        <w:t xml:space="preserve"> (calidad alimentaria), </w:t>
      </w:r>
      <w:r>
        <w:rPr>
          <w:rFonts w:ascii="Cambria" w:hAnsi="Cambria"/>
          <w:b/>
          <w:bCs/>
        </w:rPr>
        <w:t xml:space="preserve">Ley 1/2025</w:t>
      </w:r>
      <w:r>
        <w:rPr>
          <w:rFonts w:ascii="Cambria" w:hAnsi="Cambria"/>
        </w:rPr>
        <w:t xml:space="preserve"> (desperdicio alimentario) y </w:t>
      </w:r>
      <w:r>
        <w:rPr>
          <w:rFonts w:ascii="Cambria" w:hAnsi="Cambria"/>
          <w:b/>
          <w:bCs/>
        </w:rPr>
        <w:t xml:space="preserve">Orden PRE/3026/2003</w:t>
      </w:r>
      <w:r>
        <w:rPr>
          <w:rFonts w:ascii="Cambria" w:hAnsi="Cambria"/>
        </w:rPr>
        <w:t xml:space="preserve"> (inspección SOIVRE).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ANÁLISIS SECTORIAL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Vacuno</w:t>
      </w:r>
      <w:r>
        <w:rPr>
          <w:rFonts w:ascii="Cambria" w:hAnsi="Cambria"/>
        </w:rPr>
        <w:t xml:space="preserve">: principales productores mundiales EEUU, Brasil, China y Argentina. España es quinta en la UE. Saldo negativo de </w:t>
      </w:r>
      <w:r>
        <w:rPr>
          <w:rFonts w:ascii="Cambria" w:hAnsi="Cambria"/>
          <w:b/>
          <w:bCs/>
        </w:rPr>
        <w:t xml:space="preserve">120 M€</w:t>
      </w:r>
      <w:r>
        <w:rPr>
          <w:rFonts w:ascii="Cambria" w:hAnsi="Cambria"/>
        </w:rPr>
        <w:t xml:space="preserve"> en 2025, con importaciones creciendo un </w:t>
      </w:r>
      <w:r>
        <w:rPr>
          <w:rFonts w:ascii="Cambria" w:hAnsi="Cambria"/>
          <w:b/>
          <w:bCs/>
        </w:rPr>
        <w:t xml:space="preserve">22,5%</w:t>
      </w:r>
      <w:r>
        <w:rPr>
          <w:rFonts w:ascii="Cambria" w:hAnsi="Cambria"/>
        </w:rPr>
        <w:t xml:space="preserve"> frente a exportaciones del </w:t>
      </w:r>
      <w:r>
        <w:rPr>
          <w:rFonts w:ascii="Cambria" w:hAnsi="Cambria"/>
          <w:b/>
          <w:bCs/>
        </w:rPr>
        <w:t xml:space="preserve">6%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Porcino</w:t>
      </w:r>
      <w:r>
        <w:rPr>
          <w:rFonts w:ascii="Cambria" w:hAnsi="Cambria"/>
        </w:rPr>
        <w:t xml:space="preserve">: España lidera la producción en la UE y es tercera mundial tras China y EEUU. Superávit de </w:t>
      </w:r>
      <w:r>
        <w:rPr>
          <w:rFonts w:ascii="Cambria" w:hAnsi="Cambria"/>
          <w:b/>
          <w:bCs/>
        </w:rPr>
        <w:t xml:space="preserve">7.877 M€</w:t>
      </w:r>
      <w:r>
        <w:rPr>
          <w:rFonts w:ascii="Cambria" w:hAnsi="Cambria"/>
        </w:rPr>
        <w:t xml:space="preserve">, con el </w:t>
      </w:r>
      <w:r>
        <w:rPr>
          <w:rFonts w:ascii="Cambria" w:hAnsi="Cambria"/>
          <w:b/>
          <w:bCs/>
        </w:rPr>
        <w:t xml:space="preserve">67,8%</w:t>
      </w:r>
      <w:r>
        <w:rPr>
          <w:rFonts w:ascii="Cambria" w:hAnsi="Cambria"/>
        </w:rPr>
        <w:t xml:space="preserve"> de las exportaciones cárnicas. En </w:t>
      </w:r>
      <w:r>
        <w:rPr>
          <w:rFonts w:ascii="Cambria" w:hAnsi="Cambria"/>
          <w:b/>
          <w:bCs/>
        </w:rPr>
        <w:t xml:space="preserve">noviembre de 2025</w:t>
      </w:r>
      <w:r>
        <w:rPr>
          <w:rFonts w:ascii="Cambria" w:hAnsi="Cambria"/>
        </w:rPr>
        <w:t xml:space="preserve"> se detectó </w:t>
      </w:r>
      <w:r>
        <w:rPr>
          <w:rFonts w:ascii="Cambria" w:hAnsi="Cambria"/>
          <w:b/>
          <w:bCs/>
        </w:rPr>
        <w:t xml:space="preserve">peste porcina africana</w:t>
      </w:r>
      <w:r>
        <w:rPr>
          <w:rFonts w:ascii="Cambria" w:hAnsi="Cambria"/>
        </w:rPr>
        <w:t xml:space="preserve"> en Cerdanyola del Vallès, primer foco desde 1994, con pérdida temporal del estatus de país libre ante la </w:t>
      </w:r>
      <w:r>
        <w:rPr>
          <w:rFonts w:ascii="Cambria" w:hAnsi="Cambria"/>
          <w:b/>
          <w:bCs/>
        </w:rPr>
        <w:t xml:space="preserve">OMSA</w:t>
      </w:r>
      <w:r>
        <w:rPr>
          <w:rFonts w:ascii="Cambria" w:hAnsi="Cambria"/>
        </w:rPr>
        <w:t xml:space="preserve">, más de 120 certificados bloqueados en 24 países y riesgo sobre más de 3.000 M€. Marco normativo: </w:t>
      </w:r>
      <w:r>
        <w:rPr>
          <w:rFonts w:ascii="Cambria" w:hAnsi="Cambria"/>
          <w:b/>
          <w:bCs/>
        </w:rPr>
        <w:t xml:space="preserve">Reglamento de Ejecución (UE) 2023/594</w:t>
      </w:r>
      <w:r>
        <w:rPr>
          <w:rFonts w:ascii="Cambria" w:hAnsi="Cambria"/>
        </w:rPr>
        <w:t xml:space="preserve">, actualizado por el </w:t>
      </w:r>
      <w:r>
        <w:rPr>
          <w:rFonts w:ascii="Cambria" w:hAnsi="Cambria"/>
          <w:b/>
          <w:bCs/>
        </w:rPr>
        <w:t xml:space="preserve">Reglamento de Ejecución (UE) 2026/985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Ovino-caprino</w:t>
      </w:r>
      <w:r>
        <w:rPr>
          <w:rFonts w:ascii="Cambria" w:hAnsi="Cambria"/>
        </w:rPr>
        <w:t xml:space="preserve">: superávit de </w:t>
      </w:r>
      <w:r>
        <w:rPr>
          <w:rFonts w:ascii="Cambria" w:hAnsi="Cambria"/>
          <w:b/>
          <w:bCs/>
        </w:rPr>
        <w:t xml:space="preserve">476 M€</w:t>
      </w:r>
      <w:r>
        <w:rPr>
          <w:rFonts w:ascii="Cambria" w:hAnsi="Cambria"/>
        </w:rPr>
        <w:t xml:space="preserve">, con exportaciones a la UE y Argelia.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Aves</w:t>
      </w:r>
      <w:r>
        <w:rPr>
          <w:rFonts w:ascii="Cambria" w:hAnsi="Cambria"/>
        </w:rPr>
        <w:t xml:space="preserve">: saldo positivo de </w:t>
      </w:r>
      <w:r>
        <w:rPr>
          <w:rFonts w:ascii="Cambria" w:hAnsi="Cambria"/>
          <w:b/>
          <w:bCs/>
        </w:rPr>
        <w:t xml:space="preserve">36 M€</w:t>
      </w:r>
      <w:r>
        <w:rPr>
          <w:rFonts w:ascii="Cambria" w:hAnsi="Cambria"/>
        </w:rPr>
        <w:t xml:space="preserve"> en 2025, afectado por la influenza aviar. El Acuerdo </w:t>
      </w:r>
      <w:r>
        <w:rPr>
          <w:rFonts w:ascii="Cambria" w:hAnsi="Cambria"/>
          <w:b/>
          <w:bCs/>
        </w:rPr>
        <w:t xml:space="preserve">UE-Mercosur</w:t>
      </w:r>
      <w:r>
        <w:rPr>
          <w:rFonts w:ascii="Cambria" w:hAnsi="Cambria"/>
        </w:rPr>
        <w:t xml:space="preserve"> prevé una cuota adicional de </w:t>
      </w:r>
      <w:r>
        <w:rPr>
          <w:rFonts w:ascii="Cambria" w:hAnsi="Cambria"/>
          <w:b/>
          <w:bCs/>
        </w:rPr>
        <w:t xml:space="preserve">180.000 toneladas</w:t>
      </w:r>
      <w:r>
        <w:rPr>
          <w:rFonts w:ascii="Cambria" w:hAnsi="Cambria"/>
        </w:rPr>
        <w:t xml:space="preserve"> de carne avícola.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exportaciones </w:t>
      </w:r>
      <w:r>
        <w:rPr>
          <w:rFonts w:ascii="Cambria" w:hAnsi="Cambria"/>
          <w:b/>
          <w:bCs/>
        </w:rPr>
        <w:t xml:space="preserve">halal y kosher</w:t>
      </w:r>
      <w:r>
        <w:rPr>
          <w:rFonts w:ascii="Cambria" w:hAnsi="Cambria"/>
        </w:rPr>
        <w:t xml:space="preserve">, con base en la </w:t>
      </w:r>
      <w:r>
        <w:rPr>
          <w:rFonts w:ascii="Cambria" w:hAnsi="Cambria"/>
          <w:b/>
          <w:bCs/>
        </w:rPr>
        <w:t xml:space="preserve">Ley 26/1992</w:t>
      </w:r>
      <w:r>
        <w:rPr>
          <w:rFonts w:ascii="Cambria" w:hAnsi="Cambria"/>
        </w:rPr>
        <w:t xml:space="preserve">, crecen hacia Argelia, Marruecos y Arabia Saudita.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6.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sector cárnico es la principal industria alimentaria española, con liderazgo en porcino y fuerte superávit comercial, aunque afronta la crisis de la PPA, la competencia del acuerdo UE-Mercosur y crecientes exigencias de sostenibilidad y trazabilidad, lo que exige diversificar mercados y reforzar la calidad diferenciada.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6 – Sector cárnico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