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pesquero se diferencia del resto del agroalimentario porque su materia prima depende de un recurso natural limitado que debe gestionarse con criterios de sostenibilidad biológica.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marco normativo se articula en torno a la </w:t>
      </w:r>
      <w:r>
        <w:rPr>
          <w:rFonts w:ascii="Cambria" w:hAnsi="Cambria"/>
          <w:b/>
          <w:bCs/>
        </w:rPr>
        <w:t xml:space="preserve">Política Pesquera Común (PPC)</w:t>
      </w:r>
      <w:r>
        <w:rPr>
          <w:rFonts w:ascii="Cambria" w:hAnsi="Cambria"/>
        </w:rPr>
        <w:t xml:space="preserve"> y los </w:t>
      </w:r>
      <w:r>
        <w:rPr>
          <w:rFonts w:ascii="Cambria" w:hAnsi="Cambria"/>
          <w:b/>
          <w:bCs/>
        </w:rPr>
        <w:t xml:space="preserve">Totales Admisibles de Captura (TAC)</w:t>
      </w:r>
      <w:r>
        <w:rPr>
          <w:rFonts w:ascii="Cambria" w:hAnsi="Cambria"/>
        </w:rPr>
        <w:t xml:space="preserve">, fijados por el Consejo de la UE según dictámenes del </w:t>
      </w:r>
      <w:r>
        <w:rPr>
          <w:rFonts w:ascii="Cambria" w:hAnsi="Cambria"/>
          <w:b/>
          <w:bCs/>
        </w:rPr>
        <w:t xml:space="preserve">CIEM/ICES</w:t>
      </w:r>
      <w:r>
        <w:rPr>
          <w:rFonts w:ascii="Cambria" w:hAnsi="Cambria"/>
        </w:rPr>
        <w:t xml:space="preserve"> y del </w:t>
      </w:r>
      <w:r>
        <w:rPr>
          <w:rFonts w:ascii="Cambria" w:hAnsi="Cambria"/>
          <w:b/>
          <w:bCs/>
        </w:rPr>
        <w:t xml:space="preserve">CCTEP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 (2025), la pesca representa el </w:t>
      </w:r>
      <w:r>
        <w:rPr>
          <w:rFonts w:ascii="Cambria" w:hAnsi="Cambria"/>
          <w:b/>
          <w:bCs/>
        </w:rPr>
        <w:t xml:space="preserve">15,7%</w:t>
      </w:r>
      <w:r>
        <w:rPr>
          <w:rFonts w:ascii="Cambria" w:hAnsi="Cambria"/>
        </w:rPr>
        <w:t xml:space="preserve"> de las importaciones y el </w:t>
      </w:r>
      <w:r>
        <w:rPr>
          <w:rFonts w:ascii="Cambria" w:hAnsi="Cambria"/>
          <w:b/>
          <w:bCs/>
        </w:rPr>
        <w:t xml:space="preserve">6,7%</w:t>
      </w:r>
      <w:r>
        <w:rPr>
          <w:rFonts w:ascii="Cambria" w:hAnsi="Cambria"/>
        </w:rPr>
        <w:t xml:space="preserve"> de las exportaciones agroalimentarias españolas.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cuenta con la flota de mayor capacidad de la UE y una posición de liderazgo en acuicultura.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GTISA</w:t>
      </w:r>
      <w:r>
        <w:rPr>
          <w:rFonts w:ascii="Cambria" w:hAnsi="Cambria"/>
        </w:rPr>
        <w:t xml:space="preserve">, dentro del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, incluye un grupo de trabajo de Pesca y Acuicultura para eliminar barreras comerciales, consolidar mercados y mejorar la coordinación del sector.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se divide en dos bloques: pescados, moluscos y crustáceos frescos/congelados y conservas, semiconservas y salazones, con su normativa.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PESCADOS Y MARISCOS FRESCOS, REFRIGERADOS Y CONGELADOS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Código Alimentario Español (CAE)</w:t>
      </w:r>
      <w:r>
        <w:rPr>
          <w:rFonts w:ascii="Cambria" w:hAnsi="Cambria"/>
        </w:rPr>
        <w:t xml:space="preserve"> clasifica los pescados según naturaleza y conservación.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Fresco o refrigerado</w:t>
      </w:r>
      <w:r>
        <w:rPr>
          <w:rFonts w:ascii="Cambria" w:hAnsi="Cambria"/>
        </w:rPr>
        <w:t xml:space="preserve">: sin más tratamiento que evisceración y hielo, o conservado en agua de mar próxima a 0 ºC.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Congelado</w:t>
      </w:r>
      <w:r>
        <w:rPr>
          <w:rFonts w:ascii="Cambria" w:hAnsi="Cambria"/>
        </w:rPr>
        <w:t xml:space="preserve">: congelación rápida a −23 ºC o menos en máximo 2 horas, almacenado a −18 ºC o inferior.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Mariscos</w:t>
      </w:r>
      <w:r>
        <w:rPr>
          <w:rFonts w:ascii="Cambria" w:hAnsi="Cambria"/>
        </w:rPr>
        <w:t xml:space="preserve">: moluscos (bivalvos como almeja, berberecho, ostra, mejillón, y cefalópodos como pulpo y calamar) y crustáceos (decápodos como cigala, bogavante, langosta, gamba, langostino, y cirrípedos como percebes), presentados vivos, frescos, congelados o cocidos.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tres factores clave son </w:t>
      </w:r>
      <w:r>
        <w:rPr>
          <w:rFonts w:ascii="Cambria" w:hAnsi="Cambria"/>
          <w:b/>
          <w:bCs/>
        </w:rPr>
        <w:t xml:space="preserve">frescura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calibre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homogeneidad</w:t>
      </w:r>
      <w:r>
        <w:rPr>
          <w:rFonts w:ascii="Cambria" w:hAnsi="Cambria"/>
        </w:rPr>
        <w:t xml:space="preserve">, regulados por el </w:t>
      </w:r>
      <w:r>
        <w:rPr>
          <w:rFonts w:ascii="Cambria" w:hAnsi="Cambria"/>
          <w:b/>
          <w:bCs/>
        </w:rPr>
        <w:t xml:space="preserve">Real Decreto 418/2015</w:t>
      </w:r>
      <w:r>
        <w:rPr>
          <w:rFonts w:ascii="Cambria" w:hAnsi="Cambria"/>
        </w:rPr>
        <w:t xml:space="preserve">, en aplicación del </w:t>
      </w:r>
      <w:r>
        <w:rPr>
          <w:rFonts w:ascii="Cambria" w:hAnsi="Cambria"/>
          <w:b/>
          <w:bCs/>
        </w:rPr>
        <w:t xml:space="preserve">Reglamento (UE) 1379/2013</w:t>
      </w:r>
      <w:r>
        <w:rPr>
          <w:rFonts w:ascii="Cambria" w:hAnsi="Cambria"/>
        </w:rPr>
        <w:t xml:space="preserve"> y de la </w:t>
      </w:r>
      <w:r>
        <w:rPr>
          <w:rFonts w:ascii="Cambria" w:hAnsi="Cambria"/>
          <w:b/>
          <w:bCs/>
        </w:rPr>
        <w:t xml:space="preserve">Ley 12/2013</w:t>
      </w:r>
      <w:r>
        <w:rPr>
          <w:rFonts w:ascii="Cambria" w:hAnsi="Cambria"/>
        </w:rPr>
        <w:t xml:space="preserve"> de la cadena alimentaria.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frescura combina factores externos (pigmentación, ojo, branquias, opérculo, rigidez) e internos (peritoneo, espina dorsal), con categorías </w:t>
      </w:r>
      <w:r>
        <w:rPr>
          <w:rFonts w:ascii="Cambria" w:hAnsi="Cambria"/>
          <w:b/>
          <w:bCs/>
        </w:rPr>
        <w:t xml:space="preserve">EXTRA, A y B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etiquetado incluye origen, calibre, frescura y fecha, peso neto, nombre científico y comercial, presentación y expedidor.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1082/2025</w:t>
      </w:r>
      <w:r>
        <w:rPr>
          <w:rFonts w:ascii="Cambria" w:hAnsi="Cambria"/>
        </w:rPr>
        <w:t xml:space="preserve"> regula las denominaciones comerciales nacionales conforme al artículo 35 del </w:t>
      </w:r>
      <w:r>
        <w:rPr>
          <w:rFonts w:ascii="Cambria" w:hAnsi="Cambria"/>
          <w:b/>
          <w:bCs/>
        </w:rPr>
        <w:t xml:space="preserve">Reglamento (UE) 1379/2013</w:t>
      </w:r>
      <w:r>
        <w:rPr>
          <w:rFonts w:ascii="Cambria" w:hAnsi="Cambria"/>
        </w:rPr>
        <w:t xml:space="preserve">, extendidas por primera vez a conservas de las partidas </w:t>
      </w:r>
      <w:r>
        <w:rPr>
          <w:rFonts w:ascii="Cambria" w:hAnsi="Cambria"/>
          <w:b/>
          <w:bCs/>
        </w:rPr>
        <w:t xml:space="preserve">1604 y 1605</w:t>
      </w:r>
      <w:r>
        <w:rPr>
          <w:rFonts w:ascii="Cambria" w:hAnsi="Cambria"/>
        </w:rPr>
        <w:t xml:space="preserve">, con listado anual de la Secretaría General de Pesca.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lípidos: </w:t>
      </w:r>
      <w:r>
        <w:rPr>
          <w:rFonts w:ascii="Cambria" w:hAnsi="Cambria"/>
          <w:b/>
          <w:bCs/>
        </w:rPr>
        <w:t xml:space="preserve">magros</w:t>
      </w:r>
      <w:r>
        <w:rPr>
          <w:rFonts w:ascii="Cambria" w:hAnsi="Cambria"/>
        </w:rPr>
        <w:t xml:space="preserve"> (menos del 2%, merluza), </w:t>
      </w:r>
      <w:r>
        <w:rPr>
          <w:rFonts w:ascii="Cambria" w:hAnsi="Cambria"/>
          <w:b/>
          <w:bCs/>
        </w:rPr>
        <w:t xml:space="preserve">medio-grasos</w:t>
      </w:r>
      <w:r>
        <w:rPr>
          <w:rFonts w:ascii="Cambria" w:hAnsi="Cambria"/>
        </w:rPr>
        <w:t xml:space="preserve"> (2-6%, dorada) y </w:t>
      </w:r>
      <w:r>
        <w:rPr>
          <w:rFonts w:ascii="Cambria" w:hAnsi="Cambria"/>
          <w:b/>
          <w:bCs/>
        </w:rPr>
        <w:t xml:space="preserve">grasos</w:t>
      </w:r>
      <w:r>
        <w:rPr>
          <w:rFonts w:ascii="Cambria" w:hAnsi="Cambria"/>
        </w:rPr>
        <w:t xml:space="preserve"> (más del 6%, salmón).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congelado exige higiene desde la captura, ausencia de materias extrañas y de olores de deterioro.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mariscos deben cumplir normas microbiológicas, control de toxinas y metales pesados, con prohibición de comercializar hembras con huevos.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ANÁLISIS SECTORIAL DE PESCADOS Y MARISCOS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producción mundial alcanzó </w:t>
      </w:r>
      <w:r>
        <w:rPr>
          <w:rFonts w:ascii="Cambria" w:hAnsi="Cambria"/>
          <w:b/>
          <w:bCs/>
        </w:rPr>
        <w:t xml:space="preserve">223,2 millones de toneladas</w:t>
      </w:r>
      <w:r>
        <w:rPr>
          <w:rFonts w:ascii="Cambria" w:hAnsi="Cambria"/>
        </w:rPr>
        <w:t xml:space="preserve"> en 2022 (FAO, informe SOFIA 2024), año en que la acuicultura superó por primera vez a la pesca extractiva.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productores: </w:t>
      </w:r>
      <w:r>
        <w:rPr>
          <w:rFonts w:ascii="Cambria" w:hAnsi="Cambria"/>
          <w:b/>
          <w:bCs/>
        </w:rPr>
        <w:t xml:space="preserve">China (36%)</w:t>
      </w:r>
      <w:r>
        <w:rPr>
          <w:rFonts w:ascii="Cambria" w:hAnsi="Cambria"/>
        </w:rPr>
        <w:t xml:space="preserve">, India (8%), Indonesia (7%), Vietnam (5%) y Perú (3%). China es el primer exportador y la UE el principal importador, con balanza deficitaria.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mantiene </w:t>
      </w:r>
      <w:r>
        <w:rPr>
          <w:rFonts w:ascii="Cambria" w:hAnsi="Cambria"/>
          <w:b/>
          <w:bCs/>
        </w:rPr>
        <w:t xml:space="preserve">acuerdos de colaboración</w:t>
      </w:r>
      <w:r>
        <w:rPr>
          <w:rFonts w:ascii="Cambria" w:hAnsi="Cambria"/>
        </w:rPr>
        <w:t xml:space="preserve"> (ayuda económica a cambio de derechos de pesca, países ACP y Groenlandia) y </w:t>
      </w:r>
      <w:r>
        <w:rPr>
          <w:rFonts w:ascii="Cambria" w:hAnsi="Cambria"/>
          <w:b/>
          <w:bCs/>
        </w:rPr>
        <w:t xml:space="preserve">acuerdos septentrionales</w:t>
      </w:r>
      <w:r>
        <w:rPr>
          <w:rFonts w:ascii="Cambria" w:hAnsi="Cambria"/>
        </w:rPr>
        <w:t xml:space="preserve"> de reciprocidad con Reino Unido, Noruega, Islandia e Islas Feroe.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protocolo pesquero con Marruecos expiró en julio de 2023 y su anulación fue confirmada por el </w:t>
      </w:r>
      <w:r>
        <w:rPr>
          <w:rFonts w:ascii="Cambria" w:hAnsi="Cambria"/>
          <w:b/>
          <w:bCs/>
        </w:rPr>
        <w:t xml:space="preserve">TJUE</w:t>
      </w:r>
      <w:r>
        <w:rPr>
          <w:rFonts w:ascii="Cambria" w:hAnsi="Cambria"/>
        </w:rPr>
        <w:t xml:space="preserve"> en octubre de 2024. En enero de 2026 el Consejo aprobó un nuevo mandato negociador.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EUROSTAT</w:t>
      </w:r>
      <w:r>
        <w:rPr>
          <w:rFonts w:ascii="Cambria" w:hAnsi="Cambria"/>
        </w:rPr>
        <w:t xml:space="preserve"> (2025), España es el primer país de la UE por valor de desembarques en 2024, con el </w:t>
      </w:r>
      <w:r>
        <w:rPr>
          <w:rFonts w:ascii="Cambria" w:hAnsi="Cambria"/>
          <w:b/>
          <w:bCs/>
        </w:rPr>
        <w:t xml:space="preserve">21%</w:t>
      </w:r>
      <w:r>
        <w:rPr>
          <w:rFonts w:ascii="Cambria" w:hAnsi="Cambria"/>
        </w:rPr>
        <w:t xml:space="preserve"> de la masa capturada por la flota comunitaria, por delante de Francia (15%) y Dinamarca (14%).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 (abril 2026), la flota española cuenta con </w:t>
      </w:r>
      <w:r>
        <w:rPr>
          <w:rFonts w:ascii="Cambria" w:hAnsi="Cambria"/>
          <w:b/>
          <w:bCs/>
        </w:rPr>
        <w:t xml:space="preserve">8.324</w:t>
      </w:r>
      <w:r>
        <w:rPr>
          <w:rFonts w:ascii="Cambria" w:hAnsi="Cambria"/>
        </w:rPr>
        <w:t xml:space="preserve"> embarcaciones, </w:t>
      </w:r>
      <w:r>
        <w:rPr>
          <w:rFonts w:ascii="Cambria" w:hAnsi="Cambria"/>
          <w:b/>
          <w:bCs/>
        </w:rPr>
        <w:t xml:space="preserve">301.135 GT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729.779 kW</w:t>
      </w:r>
      <w:r>
        <w:rPr>
          <w:rFonts w:ascii="Cambria" w:hAnsi="Cambria"/>
        </w:rPr>
        <w:t xml:space="preserve">, primera flota comunitaria en capacidad (</w:t>
      </w:r>
      <w:r>
        <w:rPr>
          <w:rFonts w:ascii="Cambria" w:hAnsi="Cambria"/>
          <w:b/>
          <w:bCs/>
        </w:rPr>
        <w:t xml:space="preserve">24%</w:t>
      </w:r>
      <w:r>
        <w:rPr>
          <w:rFonts w:ascii="Cambria" w:hAnsi="Cambria"/>
        </w:rPr>
        <w:t xml:space="preserve"> del arqueo de la UE).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primer productor acuícola de la UE, con el </w:t>
      </w:r>
      <w:r>
        <w:rPr>
          <w:rFonts w:ascii="Cambria" w:hAnsi="Cambria"/>
          <w:b/>
          <w:bCs/>
        </w:rPr>
        <w:t xml:space="preserve">25,3%</w:t>
      </w:r>
      <w:r>
        <w:rPr>
          <w:rFonts w:ascii="Cambria" w:hAnsi="Cambria"/>
        </w:rPr>
        <w:t xml:space="preserve"> según </w:t>
      </w:r>
      <w:r>
        <w:rPr>
          <w:rFonts w:ascii="Cambria" w:hAnsi="Cambria"/>
          <w:b/>
          <w:bCs/>
        </w:rPr>
        <w:t xml:space="preserve">APROMAR</w:t>
      </w:r>
      <w:r>
        <w:rPr>
          <w:rFonts w:ascii="Cambria" w:hAnsi="Cambria"/>
        </w:rPr>
        <w:t xml:space="preserve">, destacando en trucha arco iris y mejillón.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Tres tipos de flota: </w:t>
      </w:r>
      <w:r>
        <w:rPr>
          <w:rFonts w:ascii="Cambria" w:hAnsi="Cambria"/>
          <w:b/>
          <w:bCs/>
        </w:rPr>
        <w:t xml:space="preserve">bajura</w:t>
      </w:r>
      <w:r>
        <w:rPr>
          <w:rFonts w:ascii="Cambria" w:hAnsi="Cambria"/>
        </w:rPr>
        <w:t xml:space="preserve"> (55% de la pesca, fresco), </w:t>
      </w:r>
      <w:r>
        <w:rPr>
          <w:rFonts w:ascii="Cambria" w:hAnsi="Cambria"/>
          <w:b/>
          <w:bCs/>
        </w:rPr>
        <w:t xml:space="preserve">altura</w:t>
      </w:r>
      <w:r>
        <w:rPr>
          <w:rFonts w:ascii="Cambria" w:hAnsi="Cambria"/>
        </w:rPr>
        <w:t xml:space="preserve"> (aguas UE, refrigerado) y </w:t>
      </w:r>
      <w:r>
        <w:rPr>
          <w:rFonts w:ascii="Cambria" w:hAnsi="Cambria"/>
          <w:b/>
          <w:bCs/>
        </w:rPr>
        <w:t xml:space="preserve">gran altura</w:t>
      </w:r>
      <w:r>
        <w:rPr>
          <w:rFonts w:ascii="Cambria" w:hAnsi="Cambria"/>
        </w:rPr>
        <w:t xml:space="preserve"> (bacaladera, arrastrera-congeladora y atunero-congeladora).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español presenta déficit en frescos (Marruecos, Noruega, Islas Feroe), congelados (Namibia, China, Sudáfrica) y mariscos (Marruecos, Ecuador, China, Perú).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DE PESCADOS Y MARISCOS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1379/2013</w:t>
      </w:r>
      <w:r>
        <w:rPr>
          <w:rFonts w:ascii="Cambria" w:hAnsi="Cambria"/>
        </w:rPr>
        <w:t xml:space="preserve">, OCM de los productos de la pesca y la acuicultura.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853/2004</w:t>
      </w:r>
      <w:r>
        <w:rPr>
          <w:rFonts w:ascii="Cambria" w:hAnsi="Cambria"/>
        </w:rPr>
        <w:t xml:space="preserve">, paquete de higiene, modificado por el </w:t>
      </w:r>
      <w:r>
        <w:rPr>
          <w:rFonts w:ascii="Cambria" w:hAnsi="Cambria"/>
          <w:b/>
          <w:bCs/>
        </w:rPr>
        <w:t xml:space="preserve">Reglamento Delegado (UE) 2024/1141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2021/1139</w:t>
      </w:r>
      <w:r>
        <w:rPr>
          <w:rFonts w:ascii="Cambria" w:hAnsi="Cambria"/>
        </w:rPr>
        <w:t xml:space="preserve">, que crea el </w:t>
      </w:r>
      <w:r>
        <w:rPr>
          <w:rFonts w:ascii="Cambria" w:hAnsi="Cambria"/>
          <w:b/>
          <w:bCs/>
        </w:rPr>
        <w:t xml:space="preserve">Fondo Europeo Marítimo, de Pesca y de Acuicultura (FEMPA)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956/2017</w:t>
      </w:r>
      <w:r>
        <w:rPr>
          <w:rFonts w:ascii="Cambria" w:hAnsi="Cambria"/>
        </w:rPr>
        <w:t xml:space="preserve">, que modificó el </w:t>
      </w:r>
      <w:r>
        <w:rPr>
          <w:rFonts w:ascii="Cambria" w:hAnsi="Cambria"/>
          <w:b/>
          <w:bCs/>
        </w:rPr>
        <w:t xml:space="preserve">Real Decreto 418/2015</w:t>
      </w:r>
      <w:r>
        <w:rPr>
          <w:rFonts w:ascii="Cambria" w:hAnsi="Cambria"/>
        </w:rPr>
        <w:t xml:space="preserve"> de venta de productos pesqueros, y </w:t>
      </w:r>
      <w:r>
        <w:rPr>
          <w:rFonts w:ascii="Cambria" w:hAnsi="Cambria"/>
          <w:b/>
          <w:bCs/>
        </w:rPr>
        <w:t xml:space="preserve">Real Decreto 277/2016</w:t>
      </w:r>
      <w:r>
        <w:rPr>
          <w:rFonts w:ascii="Cambria" w:hAnsi="Cambria"/>
        </w:rPr>
        <w:t xml:space="preserve">, sobre organizaciones profesionales del sector.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2073/2005</w:t>
      </w:r>
      <w:r>
        <w:rPr>
          <w:rFonts w:ascii="Cambria" w:hAnsi="Cambria"/>
        </w:rPr>
        <w:t xml:space="preserve">, criterios microbiológicos, modificado por el </w:t>
      </w:r>
      <w:r>
        <w:rPr>
          <w:rFonts w:ascii="Cambria" w:hAnsi="Cambria"/>
          <w:b/>
          <w:bCs/>
        </w:rPr>
        <w:t xml:space="preserve">Reglamento (UE) 2024/2895</w:t>
      </w:r>
      <w:r>
        <w:rPr>
          <w:rFonts w:ascii="Cambria" w:hAnsi="Cambria"/>
        </w:rPr>
        <w:t xml:space="preserve"> respecto a Listeria monocytogenes.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1021/2022</w:t>
      </w:r>
      <w:r>
        <w:rPr>
          <w:rFonts w:ascii="Cambria" w:hAnsi="Cambria"/>
        </w:rPr>
        <w:t xml:space="preserve">, higiene en comercio minorista, con tratamiento obligatorio contra anisakis (−20 ºC 24 horas o −35 ºC 15 horas).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1082/2025</w:t>
      </w:r>
      <w:r>
        <w:rPr>
          <w:rFonts w:ascii="Cambria" w:hAnsi="Cambria"/>
        </w:rPr>
        <w:t xml:space="preserve">, denominaciones comerciales nacionales, desarrolla el artículo 37 del Reglamento (UE) 1379/2013.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1219/2002</w:t>
      </w:r>
      <w:r>
        <w:rPr>
          <w:rFonts w:ascii="Cambria" w:hAnsi="Cambria"/>
        </w:rPr>
        <w:t xml:space="preserve">, Reglamentación Técnico-Sanitaria de establecimientos de productos de la pesca.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CONSERVAS, SEMICONSERVAS Y SALAZONES DE PESCADO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CAE</w:t>
      </w:r>
      <w:r>
        <w:rPr>
          <w:rFonts w:ascii="Cambria" w:hAnsi="Cambria"/>
        </w:rPr>
        <w:t xml:space="preserve"> define las conservas como productos perecederos en envases herméticos tratados por calor para asegurar su conservación.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conservas de pescado son semiácidas o poco ácidas, requieren tratamiento térmico contra *Clostridium botulinum* y esterilización a </w:t>
      </w:r>
      <w:r>
        <w:rPr>
          <w:rFonts w:ascii="Cambria" w:hAnsi="Cambria"/>
          <w:b/>
          <w:bCs/>
        </w:rPr>
        <w:t xml:space="preserve">121,1 ºC</w:t>
      </w:r>
      <w:r>
        <w:rPr>
          <w:rFonts w:ascii="Cambria" w:hAnsi="Cambria"/>
        </w:rPr>
        <w:t xml:space="preserve">. Principales: sardinas, túnidos y mejillones/berberechos.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Semiconservas y salazones más relevantes: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Salazón</w:t>
      </w:r>
      <w:r>
        <w:rPr>
          <w:rFonts w:ascii="Cambria" w:hAnsi="Cambria"/>
        </w:rPr>
        <w:t xml:space="preserve">: a partir del 12% de sal, con salado seco-húmedo (20%, bacalao y lubina) y anchoado (sardina, anchoa).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Ahumado</w:t>
      </w:r>
      <w:r>
        <w:rPr>
          <w:rFonts w:ascii="Cambria" w:hAnsi="Cambria"/>
        </w:rPr>
        <w:t xml:space="preserve">: modifica sabor, color y textura, requiere refrigeración y sal entre 3-3,5%.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Escabechado</w:t>
      </w:r>
      <w:r>
        <w:rPr>
          <w:rFonts w:ascii="Cambria" w:hAnsi="Cambria"/>
        </w:rPr>
        <w:t xml:space="preserve">: sal (7-8%) y ácido acético (5%), en variantes frío, cocido y frito.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Factores de calidad y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Controles obligatorios: inspección de cierre y envases, esterilidad y prevención de oxidaciones.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clave: </w:t>
      </w:r>
      <w:r>
        <w:rPr>
          <w:rFonts w:ascii="Cambria" w:hAnsi="Cambria"/>
          <w:b/>
          <w:bCs/>
        </w:rPr>
        <w:t xml:space="preserve">tratamiento térmico</w:t>
      </w:r>
      <w:r>
        <w:rPr>
          <w:rFonts w:ascii="Cambria" w:hAnsi="Cambria"/>
        </w:rPr>
        <w:t xml:space="preserve"> (factor esterilizante F y número Z) y </w:t>
      </w:r>
      <w:r>
        <w:rPr>
          <w:rFonts w:ascii="Cambria" w:hAnsi="Cambria"/>
          <w:b/>
          <w:bCs/>
        </w:rPr>
        <w:t xml:space="preserve">envases</w:t>
      </w:r>
      <w:r>
        <w:rPr>
          <w:rFonts w:ascii="Cambria" w:hAnsi="Cambria"/>
        </w:rPr>
        <w:t xml:space="preserve">, punto crítico en sistemas </w:t>
      </w:r>
      <w:r>
        <w:rPr>
          <w:rFonts w:ascii="Cambria" w:hAnsi="Cambria"/>
          <w:b/>
          <w:bCs/>
        </w:rPr>
        <w:t xml:space="preserve">HACCP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salazones, la salmuera no debe superar 6 horas ni el 14-16% de concentración.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presenta superávit de aproximadamente </w:t>
      </w:r>
      <w:r>
        <w:rPr>
          <w:rFonts w:ascii="Cambria" w:hAnsi="Cambria"/>
          <w:b/>
          <w:bCs/>
        </w:rPr>
        <w:t xml:space="preserve">50 M€</w:t>
      </w:r>
      <w:r>
        <w:rPr>
          <w:rFonts w:ascii="Cambria" w:hAnsi="Cambria"/>
        </w:rPr>
        <w:t xml:space="preserve"> en 2025 (DATACOMEX). España es primer exportador comunitario de conservas (</w:t>
      </w:r>
      <w:r>
        <w:rPr>
          <w:rFonts w:ascii="Cambria" w:hAnsi="Cambria"/>
          <w:b/>
          <w:bCs/>
        </w:rPr>
        <w:t xml:space="preserve">1.603 M€</w:t>
      </w:r>
      <w:r>
        <w:rPr>
          <w:rFonts w:ascii="Cambria" w:hAnsi="Cambria"/>
        </w:rPr>
        <w:t xml:space="preserve">, 20% del total UE) y top 5 mundial, tras China, Tailandia y Ecuador.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destinos: Italia, Francia, Portugal y Alemania, y como terceros países EEUU y Reino Unido. Importa atún de Ecuador y China, y caballa/sardina/anchoa de Marruecos.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organismo representativo del sector es </w:t>
      </w:r>
      <w:r>
        <w:rPr>
          <w:rFonts w:ascii="Cambria" w:hAnsi="Cambria"/>
          <w:b/>
          <w:bCs/>
        </w:rPr>
        <w:t xml:space="preserve">ANFACO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NORMATIVA GENERAL Y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1181/2003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(CE) 1345/2008</w:t>
      </w:r>
      <w:r>
        <w:rPr>
          <w:rFonts w:ascii="Cambria" w:hAnsi="Cambria"/>
        </w:rPr>
        <w:t xml:space="preserve">, normas y denominaciones de conservas de sardinas.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(CEE) 1536/92</w:t>
      </w:r>
      <w:r>
        <w:rPr>
          <w:rFonts w:ascii="Cambria" w:hAnsi="Cambria"/>
        </w:rPr>
        <w:t xml:space="preserve">, conservas de atún y bonito, y </w:t>
      </w:r>
      <w:r>
        <w:rPr>
          <w:rFonts w:ascii="Cambria" w:hAnsi="Cambria"/>
          <w:b/>
          <w:bCs/>
        </w:rPr>
        <w:t xml:space="preserve">Reglamento (CE) 2406/96</w:t>
      </w:r>
      <w:r>
        <w:rPr>
          <w:rFonts w:ascii="Cambria" w:hAnsi="Cambria"/>
        </w:rPr>
        <w:t xml:space="preserve">, normas comunes para productos pesqueros.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OCM pesquera (</w:t>
      </w:r>
      <w:r>
        <w:rPr>
          <w:rFonts w:ascii="Cambria" w:hAnsi="Cambria"/>
          <w:b/>
          <w:bCs/>
        </w:rPr>
        <w:t xml:space="preserve">Reglamento (UE) 1379/2013</w:t>
      </w:r>
      <w:r>
        <w:rPr>
          <w:rFonts w:ascii="Cambria" w:hAnsi="Cambria"/>
        </w:rPr>
        <w:t xml:space="preserve">) es independiente de la OCM Única (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) agrícola, y desarrolla el artículo 35 del </w:t>
      </w:r>
      <w:r>
        <w:rPr>
          <w:rFonts w:ascii="Cambria" w:hAnsi="Cambria"/>
          <w:b/>
          <w:bCs/>
        </w:rPr>
        <w:t xml:space="preserve">Reglamento (UE) 1380/2013</w:t>
      </w:r>
      <w:r>
        <w:rPr>
          <w:rFonts w:ascii="Cambria" w:hAnsi="Cambria"/>
        </w:rPr>
        <w:t xml:space="preserve"> de Política Pesquera Común.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etiquetado exige denominación, nombre científico, método de producción, zona de captura, si ha sido descongelado y alérgenos.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</w:t>
      </w: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 se rigen por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con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como órgano de control.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 general: </w:t>
      </w: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 (contaminantes), </w:t>
      </w: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 (información al consumidor), </w:t>
      </w:r>
      <w:r>
        <w:rPr>
          <w:rFonts w:ascii="Cambria" w:hAnsi="Cambria"/>
          <w:b/>
          <w:bCs/>
        </w:rPr>
        <w:t xml:space="preserve">Reglamento (CE) 1005/2008</w:t>
      </w:r>
      <w:r>
        <w:rPr>
          <w:rFonts w:ascii="Cambria" w:hAnsi="Cambria"/>
        </w:rPr>
        <w:t xml:space="preserve"> contra la pesca INDNR, </w:t>
      </w: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 de calidad alimentaria y </w:t>
      </w: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 de prevención del desperdicio.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afronta la gestión sostenible bajo el </w:t>
      </w:r>
      <w:r>
        <w:rPr>
          <w:rFonts w:ascii="Cambria" w:hAnsi="Cambria"/>
          <w:b/>
          <w:bCs/>
        </w:rPr>
        <w:t xml:space="preserve">Rendimiento Máximo Sostenible</w:t>
      </w:r>
      <w:r>
        <w:rPr>
          <w:rFonts w:ascii="Cambria" w:hAnsi="Cambria"/>
        </w:rPr>
        <w:t xml:space="preserve">, la falta de acuerdo con Marruecos, el envejecimiento de la flota y la caída del consumo per cápita, en </w:t>
      </w:r>
      <w:r>
        <w:rPr>
          <w:rFonts w:ascii="Cambria" w:hAnsi="Cambria"/>
          <w:b/>
          <w:bCs/>
        </w:rPr>
        <w:t xml:space="preserve">17,99 kg</w:t>
      </w:r>
      <w:r>
        <w:rPr>
          <w:rFonts w:ascii="Cambria" w:hAnsi="Cambria"/>
        </w:rPr>
        <w:t xml:space="preserve"> en 2024.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futuro del liderazgo pesquero español pasa por compatibilizar viabilidad económica y sostenibilidad biológica, avanzando en certificación </w:t>
      </w:r>
      <w:r>
        <w:rPr>
          <w:rFonts w:ascii="Cambria" w:hAnsi="Cambria"/>
          <w:b/>
          <w:bCs/>
        </w:rPr>
        <w:t xml:space="preserve">MSC</w:t>
      </w:r>
      <w:r>
        <w:rPr>
          <w:rFonts w:ascii="Cambria" w:hAnsi="Cambria"/>
        </w:rPr>
        <w:t xml:space="preserve"> y cláusulas espejo frente a terceros países.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7 – Sector de productos de la pesca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