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Tres fuentes de productos con sabor dulce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Vegetales: caña de azúcar y remolacha azucarera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Animales: miel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Química: edulcorantes sin valor calórico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desarrollan miel, azúcar y huevos y ovoproductos, con su designación, factores de calidad comercial, análisis sectorial y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Normativas específicas de referencia: OCM, Normas de Comercialización de la UE, normas CEPE/UN, normas CODEX, producción controlada (UNE), producción ecológica, producción integrada y legislación general alimentaria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LA MIEL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Descripción y clasificación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Sustancia natural producida por la abeja </w:t>
      </w:r>
      <w:r>
        <w:rPr>
          <w:rFonts w:ascii="Cambria" w:hAnsi="Cambria"/>
          <w:b/>
          <w:bCs/>
        </w:rPr>
        <w:t xml:space="preserve">Apis mellifera</w:t>
      </w:r>
      <w:r>
        <w:rPr>
          <w:rFonts w:ascii="Cambria" w:hAnsi="Cambria"/>
        </w:rPr>
        <w:t xml:space="preserve"> a partir de néctar, secreciones de plantas o excreciones de insectos chupadores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Compuesta esencialmente por fructosa y glucosa, con presencia de sacarosa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origen: miel de flores o néctar y miel de mielada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elaboración: miel de panal, con trozos de panal, virgen o de gota, centrifugada (la más común), extraída por presión y miel para uso industrial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miel para uso industrial sustituye a la antigua miel filtrada y no puede venderse directamente al consumidor, solo como ingrediente industrial, cambio introducido por el </w:t>
      </w:r>
      <w:r>
        <w:rPr>
          <w:rFonts w:ascii="Cambria" w:hAnsi="Cambria"/>
          <w:b/>
          <w:bCs/>
        </w:rPr>
        <w:t xml:space="preserve">Real Decreto 68/2025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calidad comercial es el valor añadido al producto tras selección, clasificación, verificación, acondicionamiento, envasado, almacenaje y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la </w:t>
      </w:r>
      <w:r>
        <w:rPr>
          <w:rFonts w:ascii="Cambria" w:hAnsi="Cambria"/>
          <w:b/>
          <w:bCs/>
        </w:rPr>
        <w:t xml:space="preserve">Directiva 2001/110/CE</w:t>
      </w:r>
      <w:r>
        <w:rPr>
          <w:rFonts w:ascii="Cambria" w:hAnsi="Cambria"/>
        </w:rPr>
        <w:t xml:space="preserve">, traspuesta por el </w:t>
      </w:r>
      <w:r>
        <w:rPr>
          <w:rFonts w:ascii="Cambria" w:hAnsi="Cambria"/>
          <w:b/>
          <w:bCs/>
        </w:rPr>
        <w:t xml:space="preserve">Real Decreto 1049/2003</w:t>
      </w:r>
      <w:r>
        <w:rPr>
          <w:rFonts w:ascii="Cambria" w:hAnsi="Cambria"/>
        </w:rPr>
        <w:t xml:space="preserve">, actualizado por el </w:t>
      </w:r>
      <w:r>
        <w:rPr>
          <w:rFonts w:ascii="Cambria" w:hAnsi="Cambria"/>
          <w:b/>
          <w:bCs/>
        </w:rPr>
        <w:t xml:space="preserve">Real Decreto 523/2020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68/2025</w:t>
      </w:r>
      <w:r>
        <w:rPr>
          <w:rFonts w:ascii="Cambria" w:hAnsi="Cambria"/>
        </w:rPr>
        <w:t xml:space="preserve"> (transposición de la </w:t>
      </w:r>
      <w:r>
        <w:rPr>
          <w:rFonts w:ascii="Cambria" w:hAnsi="Cambria"/>
          <w:b/>
          <w:bCs/>
        </w:rPr>
        <w:t xml:space="preserve">Directiva UE 2024/1438</w:t>
      </w:r>
      <w:r>
        <w:rPr>
          <w:rFonts w:ascii="Cambria" w:hAnsi="Cambria"/>
        </w:rPr>
        <w:t xml:space="preserve">), que refuerza el etiquetado de origen con porcentajes por país en orden decreciente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Madurez: contenido en sacarosa no superior al </w:t>
      </w:r>
      <w:r>
        <w:rPr>
          <w:rFonts w:ascii="Cambria" w:hAnsi="Cambria"/>
          <w:b/>
          <w:bCs/>
        </w:rPr>
        <w:t xml:space="preserve">5 %</w:t>
      </w:r>
      <w:r>
        <w:rPr>
          <w:rFonts w:ascii="Cambria" w:hAnsi="Cambria"/>
        </w:rPr>
        <w:t xml:space="preserve"> y contenido en agua no superior al </w:t>
      </w:r>
      <w:r>
        <w:rPr>
          <w:rFonts w:ascii="Cambria" w:hAnsi="Cambria"/>
          <w:b/>
          <w:bCs/>
        </w:rPr>
        <w:t xml:space="preserve">20 %</w:t>
      </w:r>
      <w:r>
        <w:rPr>
          <w:rFonts w:ascii="Cambria" w:hAnsi="Cambria"/>
        </w:rPr>
        <w:t xml:space="preserve"> (23 % en miel de Calluna)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Frescura: índice diastásico y contenido en hidroximetilfurfural (HMF)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Limpieza: sólidos insolubles y porcentaje de cenizas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Pureza: conductividad eléctrica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Alteraciones: fermentación (con humedad superior al 17 %) y granulación defectuosa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 debe presentar olor y sabor extraños, acidez modificada artificialmente ni fermentación o recalentamiento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Sanidad: ausencia de varroosis (</w:t>
      </w:r>
      <w:r>
        <w:rPr>
          <w:rFonts w:ascii="Cambria" w:hAnsi="Cambria"/>
          <w:b/>
          <w:bCs/>
        </w:rPr>
        <w:t xml:space="preserve">Varroa destructor</w:t>
      </w:r>
      <w:r>
        <w:rPr>
          <w:rFonts w:ascii="Cambria" w:hAnsi="Cambria"/>
        </w:rPr>
        <w:t xml:space="preserve">), ascosferosis, nosemosis y plagas como el </w:t>
      </w:r>
      <w:r>
        <w:rPr>
          <w:rFonts w:ascii="Cambria" w:hAnsi="Cambria"/>
          <w:b/>
          <w:bCs/>
        </w:rPr>
        <w:t xml:space="preserve">Aethina tumida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China es el mayor productor mundial, seguido de Turquía, Irán y Argentina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es el segundo bloque productor mundial, con </w:t>
      </w:r>
      <w:r>
        <w:rPr>
          <w:rFonts w:ascii="Cambria" w:hAnsi="Cambria"/>
          <w:b/>
          <w:bCs/>
        </w:rPr>
        <w:t xml:space="preserve">200.000-220.000 toneladas</w:t>
      </w:r>
      <w:r>
        <w:rPr>
          <w:rFonts w:ascii="Cambria" w:hAnsi="Cambria"/>
        </w:rPr>
        <w:t xml:space="preserve"> anuales, e importadora neta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con más de </w:t>
      </w:r>
      <w:r>
        <w:rPr>
          <w:rFonts w:ascii="Cambria" w:hAnsi="Cambria"/>
          <w:b/>
          <w:bCs/>
        </w:rPr>
        <w:t xml:space="preserve">3 millones de colmenas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35.300 apicultores</w:t>
      </w:r>
      <w:r>
        <w:rPr>
          <w:rFonts w:ascii="Cambria" w:hAnsi="Cambria"/>
        </w:rPr>
        <w:t xml:space="preserve"> registrados, es primer productor junto a Rumanía, Alemania y Hungría, concentrado en Extremadura, Andalucía, Castilla y León y Comunidad Valenciana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primer exportador comunitario a terceros países, con el </w:t>
      </w:r>
      <w:r>
        <w:rPr>
          <w:rFonts w:ascii="Cambria" w:hAnsi="Cambria"/>
          <w:b/>
          <w:bCs/>
        </w:rPr>
        <w:t xml:space="preserve">30 %</w:t>
      </w:r>
      <w:r>
        <w:rPr>
          <w:rFonts w:ascii="Cambria" w:hAnsi="Cambria"/>
        </w:rPr>
        <w:t xml:space="preserve"> de las exportaciones extracomunitarias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Balanza comercial positiva, con importaciones mayoritarias de la UE (</w:t>
      </w:r>
      <w:r>
        <w:rPr>
          <w:rFonts w:ascii="Cambria" w:hAnsi="Cambria"/>
          <w:b/>
          <w:bCs/>
        </w:rPr>
        <w:t xml:space="preserve">56 %</w:t>
      </w:r>
      <w:r>
        <w:rPr>
          <w:rFonts w:ascii="Cambria" w:hAnsi="Cambria"/>
        </w:rPr>
        <w:t xml:space="preserve">, liderada por Portugal) y de Ucrania, Argentina y China, y exportaciones a Francia, Alemania, Portugal y terceros países como Arabia Saudí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Precio de exportación europeo de </w:t>
      </w:r>
      <w:r>
        <w:rPr>
          <w:rFonts w:ascii="Cambria" w:hAnsi="Cambria"/>
          <w:b/>
          <w:bCs/>
        </w:rPr>
        <w:t xml:space="preserve">3,48 €/kg</w:t>
      </w:r>
      <w:r>
        <w:rPr>
          <w:rFonts w:ascii="Cambria" w:hAnsi="Cambria"/>
        </w:rPr>
        <w:t xml:space="preserve"> frente a </w:t>
      </w:r>
      <w:r>
        <w:rPr>
          <w:rFonts w:ascii="Cambria" w:hAnsi="Cambria"/>
          <w:b/>
          <w:bCs/>
        </w:rPr>
        <w:t xml:space="preserve">2,52 €/kg</w:t>
      </w:r>
      <w:r>
        <w:rPr>
          <w:rFonts w:ascii="Cambria" w:hAnsi="Cambria"/>
        </w:rPr>
        <w:t xml:space="preserve"> de importación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2001/110/CE</w:t>
      </w:r>
      <w:r>
        <w:rPr>
          <w:rFonts w:ascii="Cambria" w:hAnsi="Cambria"/>
        </w:rPr>
        <w:t xml:space="preserve">, traspuesta por el </w:t>
      </w:r>
      <w:r>
        <w:rPr>
          <w:rFonts w:ascii="Cambria" w:hAnsi="Cambria"/>
          <w:b/>
          <w:bCs/>
        </w:rPr>
        <w:t xml:space="preserve">Real Decreto 1049/2003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Real Decreto 287/2015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Real Decreto 523/2020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Real Decreto 68/2025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, que integra las intervenciones apícolas en el Plan Estratégico de la PAC, con medidas de asistencia técnica, lucha contra la varroosis, trashumancia y apoyo a laboratorios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Ministerial de 12 de junio de 1986</w:t>
      </w:r>
      <w:r>
        <w:rPr>
          <w:rFonts w:ascii="Cambria" w:hAnsi="Cambria"/>
        </w:rPr>
        <w:t xml:space="preserve">, sobre métodos oficiales de análisis de la miel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EL AZÚCAR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Sacarosa pura obtenida de la caña de azúcar (</w:t>
      </w:r>
      <w:r>
        <w:rPr>
          <w:rFonts w:ascii="Cambria" w:hAnsi="Cambria"/>
          <w:b/>
          <w:bCs/>
        </w:rPr>
        <w:t xml:space="preserve">Saccharum officinarum</w:t>
      </w:r>
      <w:r>
        <w:rPr>
          <w:rFonts w:ascii="Cambria" w:hAnsi="Cambria"/>
        </w:rPr>
        <w:t xml:space="preserve">) y la remolacha azucarera (</w:t>
      </w:r>
      <w:r>
        <w:rPr>
          <w:rFonts w:ascii="Cambria" w:hAnsi="Cambria"/>
          <w:b/>
          <w:bCs/>
        </w:rPr>
        <w:t xml:space="preserve">Beta vulgaris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Usos como edulcorante, conservante, anticongelante en helados, fermentaciones industriales y confitería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1052/2003</w:t>
      </w:r>
      <w:r>
        <w:rPr>
          <w:rFonts w:ascii="Cambria" w:hAnsi="Cambria"/>
        </w:rPr>
        <w:t xml:space="preserve"> distingue azúcar terciario, moreno de caña, semiblanco o blanco, líquido o líquido invertido, jarabe de glucosa, dextrosa y fructosa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Pureza determinada por poder edulcorante, color, humedad, riqueza en hidrato de carbono, ausencia de materias extrañas, solubilidad, densidad, polarización, acidez, cenizas y ausencia de metales pesados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azúcar de remolacha se exige calidad sana, cabal y comercial y contenido mínimo de azúcar del </w:t>
      </w:r>
      <w:r>
        <w:rPr>
          <w:rFonts w:ascii="Cambria" w:hAnsi="Cambria"/>
          <w:b/>
          <w:bCs/>
        </w:rPr>
        <w:t xml:space="preserve">16 %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mundial orientada mayoritariamente a la caña (</w:t>
      </w:r>
      <w:r>
        <w:rPr>
          <w:rFonts w:ascii="Cambria" w:hAnsi="Cambria"/>
          <w:b/>
          <w:bCs/>
        </w:rPr>
        <w:t xml:space="preserve">80 %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Brasil lidera la producción de caña (</w:t>
      </w:r>
      <w:r>
        <w:rPr>
          <w:rFonts w:ascii="Cambria" w:hAnsi="Cambria"/>
          <w:b/>
          <w:bCs/>
        </w:rPr>
        <w:t xml:space="preserve">38-40 %</w:t>
      </w:r>
      <w:r>
        <w:rPr>
          <w:rFonts w:ascii="Cambria" w:hAnsi="Cambria"/>
        </w:rPr>
        <w:t xml:space="preserve">), seguido de India (</w:t>
      </w:r>
      <w:r>
        <w:rPr>
          <w:rFonts w:ascii="Cambria" w:hAnsi="Cambria"/>
          <w:b/>
          <w:bCs/>
        </w:rPr>
        <w:t xml:space="preserve">23 %</w:t>
      </w:r>
      <w:r>
        <w:rPr>
          <w:rFonts w:ascii="Cambria" w:hAnsi="Cambria"/>
        </w:rPr>
        <w:t xml:space="preserve">) y China, Pakistán y Tailandia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remolacha, Rusia es el principal productor, seguida de Francia, Alemania y EEUU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es tercer productor mundial, insuficiente para su demanda interna, con Castilla y León y Andalucía como principales zonas productoras españolas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azúcar supone el </w:t>
      </w:r>
      <w:r>
        <w:rPr>
          <w:rFonts w:ascii="Cambria" w:hAnsi="Cambria"/>
          <w:b/>
          <w:bCs/>
        </w:rPr>
        <w:t xml:space="preserve">2 %</w:t>
      </w:r>
      <w:r>
        <w:rPr>
          <w:rFonts w:ascii="Cambria" w:hAnsi="Cambria"/>
        </w:rPr>
        <w:t xml:space="preserve"> de las importaciones españolas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eliminación de las cuotas de azúcar por la Comisión Europea en </w:t>
      </w:r>
      <w:r>
        <w:rPr>
          <w:rFonts w:ascii="Cambria" w:hAnsi="Cambria"/>
          <w:b/>
          <w:bCs/>
        </w:rPr>
        <w:t xml:space="preserve">2017</w:t>
      </w:r>
      <w:r>
        <w:rPr>
          <w:rFonts w:ascii="Cambria" w:hAnsi="Cambria"/>
        </w:rPr>
        <w:t xml:space="preserve"> generó excedentes y caída de precios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 la UE (Francia y Portugal) y de Brasil y Sudáfrica, exportaciones a Francia y Portugal y a Reino Unido, con déficit comercial de </w:t>
      </w:r>
      <w:r>
        <w:rPr>
          <w:rFonts w:ascii="Cambria" w:hAnsi="Cambria"/>
          <w:b/>
          <w:bCs/>
        </w:rPr>
        <w:t xml:space="preserve">729 M€</w:t>
      </w:r>
      <w:r>
        <w:rPr>
          <w:rFonts w:ascii="Cambria" w:hAnsi="Cambria"/>
        </w:rPr>
        <w:t xml:space="preserve"> en 2025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Directiva 2001/111/CE</w:t>
      </w:r>
      <w:r>
        <w:rPr>
          <w:rFonts w:ascii="Cambria" w:hAnsi="Cambria"/>
        </w:rPr>
        <w:t xml:space="preserve">, traspuesta por el </w:t>
      </w:r>
      <w:r>
        <w:rPr>
          <w:rFonts w:ascii="Cambria" w:hAnsi="Cambria"/>
          <w:b/>
          <w:bCs/>
        </w:rPr>
        <w:t xml:space="preserve">Real Decreto 1052/2003</w:t>
      </w:r>
      <w:r>
        <w:rPr>
          <w:rFonts w:ascii="Cambria" w:hAnsi="Cambria"/>
        </w:rPr>
        <w:t xml:space="preserve">, que aprueba la RTS sobre azúcares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 del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, que limita aditivos y homogeneiza etiquetado e higiene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Cataluña, el Impuesto sobre Bebidas Azucaradas Envasadas (IBAE) desde 2017, y a nivel estatal el IVA de bebidas azucaradas se incrementó del 10 % al </w:t>
      </w:r>
      <w:r>
        <w:rPr>
          <w:rFonts w:ascii="Cambria" w:hAnsi="Cambria"/>
          <w:b/>
          <w:bCs/>
        </w:rPr>
        <w:t xml:space="preserve">21 %</w:t>
      </w:r>
      <w:r>
        <w:rPr>
          <w:rFonts w:ascii="Cambria" w:hAnsi="Cambria"/>
        </w:rPr>
        <w:t xml:space="preserve"> en 2021, manteniéndose el azúcar sólido en el tipo reducido del 10 %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HUEVOS Y OVOPRODUCTOS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huevo se compone de cáscara (</w:t>
      </w:r>
      <w:r>
        <w:rPr>
          <w:rFonts w:ascii="Cambria" w:hAnsi="Cambria"/>
          <w:b/>
          <w:bCs/>
        </w:rPr>
        <w:t xml:space="preserve">12 %</w:t>
      </w:r>
      <w:r>
        <w:rPr>
          <w:rFonts w:ascii="Cambria" w:hAnsi="Cambria"/>
        </w:rPr>
        <w:t xml:space="preserve">), clara o albumen (</w:t>
      </w:r>
      <w:r>
        <w:rPr>
          <w:rFonts w:ascii="Cambria" w:hAnsi="Cambria"/>
          <w:b/>
          <w:bCs/>
        </w:rPr>
        <w:t xml:space="preserve">57 %</w:t>
      </w:r>
      <w:r>
        <w:rPr>
          <w:rFonts w:ascii="Cambria" w:hAnsi="Cambria"/>
        </w:rPr>
        <w:t xml:space="preserve">) y yema (</w:t>
      </w:r>
      <w:r>
        <w:rPr>
          <w:rFonts w:ascii="Cambria" w:hAnsi="Cambria"/>
          <w:b/>
          <w:bCs/>
        </w:rPr>
        <w:t xml:space="preserve">31 %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ovoproductos se obtienen del huevo, en estado líquido, cristalizado o congelado, con aplicaciones como aromatizantes, colorantes y emulsionantes (yema) o anticoagulantes, aglutinantes y espumantes (clara)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el huevo: peso, caracteres sensoriales y conservación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ovoproductos: ausencia o límites de gérmenes como Salmonella o Escherichia coli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Categorías comerciales: A (consumo humano directo) y B (uso industrial exclusivo)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Delegado (UE) 2023/2465</w:t>
      </w:r>
      <w:r>
        <w:rPr>
          <w:rFonts w:ascii="Cambria" w:hAnsi="Cambria"/>
        </w:rPr>
        <w:t xml:space="preserve"> exige para la categoría A cáscara y cutícula limpias e intactas, cámara de aire no superior a </w:t>
      </w:r>
      <w:r>
        <w:rPr>
          <w:rFonts w:ascii="Cambria" w:hAnsi="Cambria"/>
          <w:b/>
          <w:bCs/>
        </w:rPr>
        <w:t xml:space="preserve">6 mm</w:t>
      </w:r>
      <w:r>
        <w:rPr>
          <w:rFonts w:ascii="Cambria" w:hAnsi="Cambria"/>
        </w:rPr>
        <w:t xml:space="preserve"> (4 mm en huevos "Extra"), yema sin contorno discernible, clara transparente, germen imperceptible, ausencia de materias extrañas y prohibición de lavado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2023/2464</w:t>
      </w:r>
      <w:r>
        <w:rPr>
          <w:rFonts w:ascii="Cambria" w:hAnsi="Cambria"/>
        </w:rPr>
        <w:t xml:space="preserve"> obliga a estampar el código del productor en la cáscara en la propia granja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por peso: XL (≥73 g), L (63-73 g), M (53-63 g) y S (&lt;53 g)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 mundiales: China, EEUU e India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tercer productor en la UE, con Castilla-La Mancha, Castilla y León y Cataluña sumando más del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 la producción nacional, con superávit comercial de unos </w:t>
      </w:r>
      <w:r>
        <w:rPr>
          <w:rFonts w:ascii="Cambria" w:hAnsi="Cambria"/>
          <w:b/>
          <w:bCs/>
        </w:rPr>
        <w:t xml:space="preserve">130 M€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a Francia, Portugal y Filipinas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brote de gripe aviar en EEUU en 2015 impulsó las exportaciones españolas, revertidas en 2016 por medidas proteccionistas estadounidenses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de Portugal, Francia, Países Bajos, Italia, Israel y Argentina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Delegado (UE) 2023/2465</w:t>
      </w:r>
      <w:r>
        <w:rPr>
          <w:rFonts w:ascii="Cambria" w:hAnsi="Cambria"/>
        </w:rPr>
        <w:t xml:space="preserve">, sobre normas de comercialización de los huevos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Delegado (UE) 2023/2464</w:t>
      </w:r>
      <w:r>
        <w:rPr>
          <w:rFonts w:ascii="Cambria" w:hAnsi="Cambria"/>
        </w:rPr>
        <w:t xml:space="preserve">, que modifica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y establece el marcado obligatorio en la explotación de origen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Renombra el código 3 como "huevos de gallinas criadas en jaulas acondicionadas" y el código 2 como "huevos de gallinas sueltas en el gallinero", manteniendo el 0 (ecológica) y el 1 (camperas)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1027/2024</w:t>
      </w:r>
      <w:r>
        <w:rPr>
          <w:rFonts w:ascii="Cambria" w:hAnsi="Cambria"/>
        </w:rPr>
        <w:t xml:space="preserve">, que regula la aplicación de esta normativa en España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Excluye el lavado de huevos de categoría A, permite huevos aromatizados en la categoría fresca y obliga a registrar pliegos de condiciones en la base de datos ETIMUES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617/2008</w:t>
      </w:r>
      <w:r>
        <w:rPr>
          <w:rFonts w:ascii="Cambria" w:hAnsi="Cambria"/>
        </w:rPr>
        <w:t xml:space="preserve">, sobre huevos para incubar y pollitos de aves de corral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Política Agrícola Común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las reformas de 2003, la PAC evoluciona hacia sostenibilidad, competitividad y simplificación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2023-2027 se articula mediante el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estratégicos, FEAGA y FEADER), el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(financiación, gestión y seguimiento) y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 (modificación de la OCM y de los regímenes de calidad diferenciada, actualmente en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Prioridades: sostenibilidad medioambiental, eco-regímenes y condicionalidad reforzada, relevo generacional, digitalización y organizaciones de productores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Reglamento Ómnibus, </w:t>
      </w:r>
      <w:r>
        <w:rPr>
          <w:rFonts w:ascii="Cambria" w:hAnsi="Cambria"/>
          <w:b/>
          <w:bCs/>
        </w:rPr>
        <w:t xml:space="preserve">Reglamento (UE) 2017/2393</w:t>
      </w:r>
      <w:r>
        <w:rPr>
          <w:rFonts w:ascii="Cambria" w:hAnsi="Cambria"/>
        </w:rPr>
        <w:t xml:space="preserve">, introduce flexibilidad en la definición de agricultor activo, ayudas a jóvenes agricultores hasta el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del pago básico y mejoras en gestión de riesgos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Organización Común de Mercados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sobre unidad de mercado, solidaridad financiera y preferencia comunitaria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Constitución de Organizaciones de Productores y de Organizaciones Interprofesionales, como INPROVO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 gestionado por el FEGA y el FEAGA, con sustitución del Pago Único por el Pago Básico a la Sostenibilidad (BISS) y las Buenas Condiciones Agrarias y Medioambientales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Programa de apoyo a la apicultura cofinanciado al </w:t>
      </w:r>
      <w:r>
        <w:rPr>
          <w:rFonts w:ascii="Cambria" w:hAnsi="Cambria"/>
          <w:b/>
          <w:bCs/>
        </w:rPr>
        <w:t xml:space="preserve">50 %</w:t>
      </w:r>
      <w:r>
        <w:rPr>
          <w:rFonts w:ascii="Cambria" w:hAnsi="Cambria"/>
        </w:rPr>
        <w:t xml:space="preserve"> por la UE en el marco del Plan Estratégico de la PAC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de intercambio con terceros países: aranceles, contingentes, salvaguardias y certificados de importación o exportación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CEPE/UN, elaboradas por el WP7 de la Comisión Económica de las Naciones Unidas para Europa, con una sección específica de huevos y ovoproductos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CODEX, entre ellas la norma para azúcares y la norma para la miel (</w:t>
      </w:r>
      <w:r>
        <w:rPr>
          <w:rFonts w:ascii="Cambria" w:hAnsi="Cambria"/>
          <w:b/>
          <w:bCs/>
        </w:rPr>
        <w:t xml:space="preserve">Codex Stan 12-1981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controlada, desarrollada por AENOR mediante normas UNE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ecológica, regulada por el </w:t>
      </w:r>
      <w:r>
        <w:rPr>
          <w:rFonts w:ascii="Cambria" w:hAnsi="Cambria"/>
          <w:b/>
          <w:bCs/>
        </w:rPr>
        <w:t xml:space="preserve">Reglamento (UE) 2018/848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Modificaciones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, con controles del SOIVRE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 sobre productos agrarios vivos o transformados, piensos, materiales de reproducción y levaduras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Producción integrada, regulada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 y desarrollada por las CCAA, con logotipo según la </w:t>
      </w:r>
      <w:r>
        <w:rPr>
          <w:rFonts w:ascii="Cambria" w:hAnsi="Cambria"/>
          <w:b/>
          <w:bCs/>
        </w:rPr>
        <w:t xml:space="preserve">Orden APA/1/2004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DOP, IGP y ETG, reguladas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 y desarrolladas en España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con competencia de control de la AICA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Ejemplos: DOP Miel de la Alcarria, DOP Miel de Galicia, IGP Miel de Extremadura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 </w:t>
      </w:r>
      <w:r>
        <w:rPr>
          <w:rFonts w:ascii="Cambria" w:hAnsi="Cambria"/>
          <w:b/>
          <w:bCs/>
        </w:rPr>
        <w:t xml:space="preserve">Orden ECC/2257/2013</w:t>
      </w:r>
      <w:r>
        <w:rPr>
          <w:rFonts w:ascii="Cambria" w:hAnsi="Cambria"/>
        </w:rPr>
        <w:t xml:space="preserve"> y la </w:t>
      </w:r>
      <w:r>
        <w:rPr>
          <w:rFonts w:ascii="Cambria" w:hAnsi="Cambria"/>
          <w:b/>
          <w:bCs/>
        </w:rPr>
        <w:t xml:space="preserve">Orden ECC/2566/2015</w:t>
      </w:r>
      <w:r>
        <w:rPr>
          <w:rFonts w:ascii="Cambria" w:hAnsi="Cambria"/>
        </w:rPr>
        <w:t xml:space="preserve">, sobre inspección de calidad comercial en comercio exterior, con control del SOIVRE en huevos con cáscara frescos de gallina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sobre designación de la autoridad de control de las normas de comercialización, atribuida a la Secretaría de Estado de Comercio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sobre límites máximos de 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sobre límites máximos de contaminantes en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sobre información alimentaria facilitada al consumidor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sobre envases y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sobre controles oficiales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 defensa de la calidad alimentaria, con régimen sancionador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de prevención de las pérdidas y el desperdicio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993/2014</w:t>
      </w:r>
      <w:r>
        <w:rPr>
          <w:rFonts w:ascii="Cambria" w:hAnsi="Cambria"/>
        </w:rPr>
        <w:t xml:space="preserve">, sobre el Sistema Auditado de Autocontroles Específicos para la exportación a terceros países, exigible desde el 1 de marzo de 2016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agroalimentario de la miel, el azúcar y los huevos muestra posiciones comerciales diferenciadas: superávit en miel y huevos y déficit estructural en azúcar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primer exportador comunitario de miel, tercer productor de huevos en la UE y productor relevante de remolacha en Castilla y León y Andalucía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Acuerdo de Asociación UE-Mercosur, orientado a la liberalización arancelaria progresiva, intensificará la competencia con Argentina, Brasil, Uruguay y Paraguay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Brasil domina el comercio mundial de azúcar, con el </w:t>
      </w:r>
      <w:r>
        <w:rPr>
          <w:rFonts w:ascii="Cambria" w:hAnsi="Cambria"/>
          <w:b/>
          <w:bCs/>
        </w:rPr>
        <w:t xml:space="preserve">46 %</w:t>
      </w:r>
      <w:r>
        <w:rPr>
          <w:rFonts w:ascii="Cambria" w:hAnsi="Cambria"/>
        </w:rPr>
        <w:t xml:space="preserve"> del comercio internacional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Argentina es el cuarto productor mundial de miel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Brasil y Argentina mantienen sistemas de cría en jaula convencional, con ventaja de costes frente a la reconversión europea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Retos estructurales: competencia asiática en azúcar, varroosis, avispa asiática y adulteración de mieles importadas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Necesidad de reforzar diferenciación, calidad, innovación y sostenibilidad, y de exigir a terceros países estándares equivalentes a los comunitarios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9 – Sector de la miel, azúcar y huevos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