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7058C" w:rsidRPr="0037058C" w:rsidRDefault="0037058C">
      <w:pPr>
        <w:rPr>
          <w:rFonts w:ascii="Times New Roman" w:hAnsi="Times New Roman" w:cs="Times New Roman"/>
          <w:b/>
          <w:sz w:val="24"/>
          <w:szCs w:val="24"/>
          <w:lang w:val="es-MX"/>
        </w:rPr>
      </w:pPr>
      <w:r>
        <w:rPr>
          <w:rFonts w:ascii="Times New Roman" w:hAnsi="Times New Roman" w:cs="Times New Roman"/>
          <w:b/>
          <w:sz w:val="24"/>
          <w:szCs w:val="24"/>
          <w:lang w:val="es-MX"/>
        </w:rPr>
        <w:t>[RESUMEN PARA LA SECCIÓN DE DISCUSIÓN]</w:t>
      </w:r>
    </w:p>
    <w:p w:rsidR="00AD7C92" w:rsidRPr="006A7888" w:rsidRDefault="00FF5EC4" w:rsidP="006A7888">
      <w:pPr>
        <w:pStyle w:val="Prrafodelista"/>
        <w:numPr>
          <w:ilvl w:val="0"/>
          <w:numId w:val="3"/>
        </w:numPr>
        <w:rPr>
          <w:rFonts w:ascii="Times New Roman" w:hAnsi="Times New Roman" w:cs="Times New Roman"/>
          <w:b/>
          <w:sz w:val="24"/>
          <w:szCs w:val="24"/>
          <w:lang w:val="es-MX"/>
        </w:rPr>
      </w:pPr>
      <w:r w:rsidRPr="006A7888">
        <w:rPr>
          <w:rFonts w:ascii="Times New Roman" w:hAnsi="Times New Roman" w:cs="Times New Roman"/>
          <w:b/>
          <w:sz w:val="24"/>
          <w:szCs w:val="24"/>
          <w:lang w:val="es-MX"/>
        </w:rPr>
        <w:t>Razones</w:t>
      </w:r>
      <w:r w:rsidR="00AD7C92" w:rsidRPr="006A7888">
        <w:rPr>
          <w:rFonts w:ascii="Times New Roman" w:hAnsi="Times New Roman" w:cs="Times New Roman"/>
          <w:b/>
          <w:sz w:val="24"/>
          <w:szCs w:val="24"/>
          <w:lang w:val="es-MX"/>
        </w:rPr>
        <w:t xml:space="preserve"> de costo</w:t>
      </w:r>
      <w:r w:rsidRPr="006A7888">
        <w:rPr>
          <w:rFonts w:ascii="Times New Roman" w:hAnsi="Times New Roman" w:cs="Times New Roman"/>
          <w:b/>
          <w:sz w:val="24"/>
          <w:szCs w:val="24"/>
          <w:lang w:val="es-MX"/>
        </w:rPr>
        <w:t xml:space="preserve"> (1 párrafo)</w:t>
      </w:r>
    </w:p>
    <w:p w:rsidR="00712EF5" w:rsidRPr="00712EF5" w:rsidRDefault="00712EF5" w:rsidP="0092232F">
      <w:pPr>
        <w:rPr>
          <w:rFonts w:ascii="Times New Roman" w:hAnsi="Times New Roman" w:cs="Times New Roman"/>
          <w:lang w:val="es-MX"/>
        </w:rPr>
      </w:pPr>
      <w:r w:rsidRPr="00712EF5">
        <w:rPr>
          <w:rFonts w:ascii="Times New Roman" w:hAnsi="Times New Roman" w:cs="Times New Roman"/>
          <w:lang w:val="es-MX"/>
        </w:rPr>
        <w:t xml:space="preserve">La verdadera barrera económica en el acceso a dietas de calidad es la adecuación nutricional, no la diversidad dietética recomendada. La prima </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CoCA</w:t>
      </w:r>
      <w:proofErr w:type="spellEnd"/>
      <w:r w:rsidRPr="00712EF5">
        <w:rPr>
          <w:rFonts w:ascii="Times New Roman" w:hAnsi="Times New Roman" w:cs="Times New Roman"/>
          <w:lang w:val="es-MX"/>
        </w:rPr>
        <w:t xml:space="preserve"> indica que una dieta nutricionalmente adecuada costó entre un 80% y un 114% más que una dieta calóricamente suficiente según la ciudad — 1,85 en Bogotá, 2,01 en Medellín y 1,99 en Cali —, mientras que la prima </w:t>
      </w:r>
      <w:proofErr w:type="spellStart"/>
      <w:r w:rsidRPr="00712EF5">
        <w:rPr>
          <w:rFonts w:ascii="Times New Roman" w:hAnsi="Times New Roman" w:cs="Times New Roman"/>
          <w:lang w:val="es-MX"/>
        </w:rPr>
        <w:t>CoRD</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 xml:space="preserve"> es considerablemente más modesta: entre un 40% y un 54% adicional, con valores de 1,52, 1,42 y 1,43 respectivamente. La relativa estabilidad temporal de esta segunda prima — con una desviación estándar de 0,020--0,028 entre ciudades y a lo largo del período — sugiere que el costo adicional de incorporar la diversidad alimentaria recomendada por las GABA es una propiedad sistémica de estos mercados alimentarios urbanos, insensible al ciclo inflacionario. Estas magnitudes son consistentes con la evidencia internacional y regional. Bai et al. (2021), en un estudio de 177 países, reportan una prima </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CoCA</w:t>
      </w:r>
      <w:proofErr w:type="spellEnd"/>
      <w:r w:rsidRPr="00712EF5">
        <w:rPr>
          <w:rFonts w:ascii="Times New Roman" w:hAnsi="Times New Roman" w:cs="Times New Roman"/>
          <w:lang w:val="es-MX"/>
        </w:rPr>
        <w:t xml:space="preserve"> mundial de 2,66 (DE: 1,04), con valores de 2,21 (DE: 0,73) para América Latina y el Caribe y de 2,18 (DE: 0,48) para los países de ingreso medio-alto, grupo al que pertenece Colombia, lo que sitúa las tres ciudades colombianas por debajo de ambos referentes. De manera similar, </w:t>
      </w:r>
      <w:proofErr w:type="spellStart"/>
      <w:r w:rsidRPr="00712EF5">
        <w:rPr>
          <w:rFonts w:ascii="Times New Roman" w:hAnsi="Times New Roman" w:cs="Times New Roman"/>
          <w:lang w:val="es-MX"/>
        </w:rPr>
        <w:t>Yoshioka</w:t>
      </w:r>
      <w:proofErr w:type="spellEnd"/>
      <w:r w:rsidRPr="00712EF5">
        <w:rPr>
          <w:rFonts w:ascii="Times New Roman" w:hAnsi="Times New Roman" w:cs="Times New Roman"/>
          <w:lang w:val="es-MX"/>
        </w:rPr>
        <w:t xml:space="preserve">-Vargas et al. (2025) reportan una razón de 2,4 para Cali en 2022, consistente con nuestros hallazgos longitudinales que muestran una ampliación de esta prima hasta 2,57 en 2024. Para la prima </w:t>
      </w:r>
      <w:proofErr w:type="spellStart"/>
      <w:r w:rsidRPr="00712EF5">
        <w:rPr>
          <w:rFonts w:ascii="Times New Roman" w:hAnsi="Times New Roman" w:cs="Times New Roman"/>
          <w:lang w:val="es-MX"/>
        </w:rPr>
        <w:t>CoRD</w:t>
      </w:r>
      <w:proofErr w:type="spellEnd"/>
      <w:r w:rsidRPr="00712EF5">
        <w:rPr>
          <w:rFonts w:ascii="Times New Roman" w:hAnsi="Times New Roman" w:cs="Times New Roman"/>
          <w:lang w:val="es-MX"/>
        </w:rPr>
        <w:t>/</w:t>
      </w:r>
      <w:proofErr w:type="spellStart"/>
      <w:r w:rsidRPr="00712EF5">
        <w:rPr>
          <w:rFonts w:ascii="Times New Roman" w:hAnsi="Times New Roman" w:cs="Times New Roman"/>
          <w:lang w:val="es-MX"/>
        </w:rPr>
        <w:t>CoNA</w:t>
      </w:r>
      <w:proofErr w:type="spellEnd"/>
      <w:r w:rsidRPr="00712EF5">
        <w:rPr>
          <w:rFonts w:ascii="Times New Roman" w:hAnsi="Times New Roman" w:cs="Times New Roman"/>
          <w:lang w:val="es-MX"/>
        </w:rPr>
        <w:t xml:space="preserve">, </w:t>
      </w:r>
      <w:proofErr w:type="spellStart"/>
      <w:r w:rsidRPr="00712EF5">
        <w:rPr>
          <w:rFonts w:ascii="Times New Roman" w:hAnsi="Times New Roman" w:cs="Times New Roman"/>
          <w:lang w:val="es-MX"/>
        </w:rPr>
        <w:t>Yoshioka</w:t>
      </w:r>
      <w:proofErr w:type="spellEnd"/>
      <w:r w:rsidRPr="00712EF5">
        <w:rPr>
          <w:rFonts w:ascii="Times New Roman" w:hAnsi="Times New Roman" w:cs="Times New Roman"/>
          <w:lang w:val="es-MX"/>
        </w:rPr>
        <w:t xml:space="preserve">-Vargas et al. (2025) y FAO et al. (2021) reportan una razón de 1,4 para Cali y América Latina respectivamente, ligeramente por debajo de nuestras estimaciones. Como referente adicional, </w:t>
      </w:r>
      <w:proofErr w:type="spellStart"/>
      <w:r w:rsidRPr="00712EF5">
        <w:rPr>
          <w:rFonts w:ascii="Times New Roman" w:hAnsi="Times New Roman" w:cs="Times New Roman"/>
          <w:lang w:val="es-MX"/>
        </w:rPr>
        <w:t>Hirvonen</w:t>
      </w:r>
      <w:proofErr w:type="spellEnd"/>
      <w:r w:rsidRPr="00712EF5">
        <w:rPr>
          <w:rFonts w:ascii="Times New Roman" w:hAnsi="Times New Roman" w:cs="Times New Roman"/>
          <w:lang w:val="es-MX"/>
        </w:rPr>
        <w:t xml:space="preserve"> et al. (2020) encuentran que la dieta EAT-Lancet — diseñada para cumplir objetivos de salud humana y sostenibilidad planetaria con restricciones de diversidad más exigentes que las guías nacionales — cuesta en promedio un 60% más que la dieta de adecuación nutricional mínima. Que el salto más costoso ocurra antes de alcanzar la adecuación nutricional mínima, y no después, implica que las intervenciones centradas en promover la diversidad dietética sin atender primero la brecha nutricional enfrentan una secuencia invertida: actúan sobre el escalón más barato antes de resolver el más oneroso.</w:t>
      </w:r>
    </w:p>
    <w:p w:rsidR="00076F60" w:rsidRPr="00807E23" w:rsidRDefault="004C2D67" w:rsidP="0092232F">
      <w:pPr>
        <w:rPr>
          <w:rFonts w:ascii="Times New Roman" w:hAnsi="Times New Roman" w:cs="Times New Roman"/>
          <w:i/>
          <w:color w:val="FF0000"/>
          <w:sz w:val="24"/>
          <w:szCs w:val="24"/>
        </w:rPr>
      </w:pPr>
      <w:r w:rsidRPr="00807E23">
        <w:rPr>
          <w:rFonts w:ascii="Times New Roman" w:hAnsi="Times New Roman" w:cs="Times New Roman"/>
          <w:i/>
          <w:color w:val="FF0000"/>
          <w:sz w:val="24"/>
          <w:szCs w:val="24"/>
        </w:rPr>
        <w:t xml:space="preserve">El primer hallazgo, en términos del costo, es que la verdadera barrera económica es la adecuación nutricional, que es superior al costo adicional necesario para pasar de una dieta adecuada en nutrientes a una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 xml:space="preserve"> (y describes que representa una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 xml:space="preserve">). La prima </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CoCA</w:t>
      </w:r>
      <w:proofErr w:type="spellEnd"/>
      <w:r w:rsidRPr="00807E23">
        <w:rPr>
          <w:rFonts w:ascii="Times New Roman" w:hAnsi="Times New Roman" w:cs="Times New Roman"/>
          <w:i/>
          <w:color w:val="FF0000"/>
          <w:sz w:val="24"/>
          <w:szCs w:val="24"/>
        </w:rPr>
        <w:t>, durante el período completo, indicó que una dieta adecuada en nutrientes costó entre un 80% y 114% más que una dieta calóricamente suficiente, con variaciones según ciudades</w:t>
      </w:r>
      <w:r w:rsidR="00DA53B3" w:rsidRPr="00807E23">
        <w:rPr>
          <w:rFonts w:ascii="Times New Roman" w:hAnsi="Times New Roman" w:cs="Times New Roman"/>
          <w:i/>
          <w:color w:val="FF0000"/>
          <w:sz w:val="24"/>
          <w:szCs w:val="24"/>
        </w:rPr>
        <w:t xml:space="preserve"> (1.85 en Bogotá, 2.01 en Medellín y 1.99 en Cali)</w:t>
      </w:r>
      <w:r w:rsidRPr="00807E23">
        <w:rPr>
          <w:rFonts w:ascii="Times New Roman" w:hAnsi="Times New Roman" w:cs="Times New Roman"/>
          <w:i/>
          <w:color w:val="FF0000"/>
          <w:sz w:val="24"/>
          <w:szCs w:val="24"/>
        </w:rPr>
        <w:t xml:space="preserve">; mientras que la prima </w:t>
      </w:r>
      <w:proofErr w:type="spellStart"/>
      <w:r w:rsidRPr="00807E23">
        <w:rPr>
          <w:rFonts w:ascii="Times New Roman" w:hAnsi="Times New Roman" w:cs="Times New Roman"/>
          <w:i/>
          <w:color w:val="FF0000"/>
          <w:sz w:val="24"/>
          <w:szCs w:val="24"/>
        </w:rPr>
        <w:t>CoRD</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 xml:space="preserve"> muestra que una dieta que sigue las recomendaciones de las guías nacionales es sólo entre 40% y 54% más alta que una dieta adecuada en nutrientes. </w:t>
      </w:r>
      <w:r w:rsidR="003B3A43" w:rsidRPr="00807E23">
        <w:rPr>
          <w:rFonts w:ascii="Times New Roman" w:hAnsi="Times New Roman" w:cs="Times New Roman"/>
          <w:i/>
          <w:color w:val="FF0000"/>
          <w:sz w:val="24"/>
          <w:szCs w:val="24"/>
        </w:rPr>
        <w:t xml:space="preserve">Todavía más, la relativa estabilidad temporal de la prima </w:t>
      </w:r>
      <w:proofErr w:type="spellStart"/>
      <w:r w:rsidR="003B3A43" w:rsidRPr="00807E23">
        <w:rPr>
          <w:rFonts w:ascii="Times New Roman" w:hAnsi="Times New Roman" w:cs="Times New Roman"/>
          <w:i/>
          <w:color w:val="FF0000"/>
          <w:sz w:val="24"/>
          <w:szCs w:val="24"/>
        </w:rPr>
        <w:t>CoRD</w:t>
      </w:r>
      <w:proofErr w:type="spellEnd"/>
      <w:r w:rsidR="003B3A43" w:rsidRPr="00807E23">
        <w:rPr>
          <w:rFonts w:ascii="Times New Roman" w:hAnsi="Times New Roman" w:cs="Times New Roman"/>
          <w:i/>
          <w:color w:val="FF0000"/>
          <w:sz w:val="24"/>
          <w:szCs w:val="24"/>
        </w:rPr>
        <w:t>/</w:t>
      </w:r>
      <w:proofErr w:type="spellStart"/>
      <w:r w:rsidR="003B3A43" w:rsidRPr="00807E23">
        <w:rPr>
          <w:rFonts w:ascii="Times New Roman" w:hAnsi="Times New Roman" w:cs="Times New Roman"/>
          <w:i/>
          <w:color w:val="FF0000"/>
          <w:sz w:val="24"/>
          <w:szCs w:val="24"/>
        </w:rPr>
        <w:t>CoNA</w:t>
      </w:r>
      <w:proofErr w:type="spellEnd"/>
      <w:r w:rsidR="003B3A43" w:rsidRPr="00807E23">
        <w:rPr>
          <w:rFonts w:ascii="Times New Roman" w:hAnsi="Times New Roman" w:cs="Times New Roman"/>
          <w:i/>
          <w:color w:val="FF0000"/>
          <w:sz w:val="24"/>
          <w:szCs w:val="24"/>
        </w:rPr>
        <w:t xml:space="preserve"> entre ciudades y a lo largo del tiempo (reportar en lo </w:t>
      </w:r>
      <w:proofErr w:type="spellStart"/>
      <w:r w:rsidR="003B3A43" w:rsidRPr="00807E23">
        <w:rPr>
          <w:rFonts w:ascii="Times New Roman" w:hAnsi="Times New Roman" w:cs="Times New Roman"/>
          <w:i/>
          <w:color w:val="FF0000"/>
          <w:sz w:val="24"/>
          <w:szCs w:val="24"/>
        </w:rPr>
        <w:t>anterio</w:t>
      </w:r>
      <w:proofErr w:type="spellEnd"/>
      <w:r w:rsidR="003B3A43" w:rsidRPr="00807E23">
        <w:rPr>
          <w:rFonts w:ascii="Times New Roman" w:hAnsi="Times New Roman" w:cs="Times New Roman"/>
          <w:i/>
          <w:color w:val="FF0000"/>
          <w:sz w:val="24"/>
          <w:szCs w:val="24"/>
        </w:rPr>
        <w:t xml:space="preserve"> el </w:t>
      </w:r>
      <w:proofErr w:type="spellStart"/>
      <w:r w:rsidR="003B3A43" w:rsidRPr="00807E23">
        <w:rPr>
          <w:rFonts w:ascii="Times New Roman" w:hAnsi="Times New Roman" w:cs="Times New Roman"/>
          <w:i/>
          <w:color w:val="FF0000"/>
          <w:sz w:val="24"/>
          <w:szCs w:val="24"/>
        </w:rPr>
        <w:t>sd</w:t>
      </w:r>
      <w:proofErr w:type="spellEnd"/>
      <w:r w:rsidR="003B3A43" w:rsidRPr="00807E23">
        <w:rPr>
          <w:rFonts w:ascii="Times New Roman" w:hAnsi="Times New Roman" w:cs="Times New Roman"/>
          <w:i/>
          <w:color w:val="FF0000"/>
          <w:sz w:val="24"/>
          <w:szCs w:val="24"/>
        </w:rPr>
        <w:t xml:space="preserve">), sugiere que el costo adicional de incorporar la diversidad alimentaria recomendada por las GABA es una característica estructural (cambiar la palabra estructural) de estos sistemas alimentarios urbanos. </w:t>
      </w:r>
      <w:r w:rsidRPr="00807E23">
        <w:rPr>
          <w:rFonts w:ascii="Times New Roman" w:hAnsi="Times New Roman" w:cs="Times New Roman"/>
          <w:i/>
          <w:color w:val="FF0000"/>
          <w:sz w:val="24"/>
          <w:szCs w:val="24"/>
        </w:rPr>
        <w:t>Estas magnitudes son consistentes con la evidencia internacional y datos de la región</w:t>
      </w:r>
      <w:r w:rsidR="003B3A43" w:rsidRPr="00807E23">
        <w:rPr>
          <w:rFonts w:ascii="Times New Roman" w:hAnsi="Times New Roman" w:cs="Times New Roman"/>
          <w:i/>
          <w:color w:val="FF0000"/>
          <w:sz w:val="24"/>
          <w:szCs w:val="24"/>
        </w:rPr>
        <w:t xml:space="preserve"> (si estos resultados con los que comparamos reportan </w:t>
      </w:r>
      <w:proofErr w:type="spellStart"/>
      <w:r w:rsidR="003B3A43" w:rsidRPr="00807E23">
        <w:rPr>
          <w:rFonts w:ascii="Times New Roman" w:hAnsi="Times New Roman" w:cs="Times New Roman"/>
          <w:i/>
          <w:color w:val="FF0000"/>
          <w:sz w:val="24"/>
          <w:szCs w:val="24"/>
        </w:rPr>
        <w:t>sd</w:t>
      </w:r>
      <w:proofErr w:type="spellEnd"/>
      <w:r w:rsidR="003B3A43" w:rsidRPr="00807E23">
        <w:rPr>
          <w:rFonts w:ascii="Times New Roman" w:hAnsi="Times New Roman" w:cs="Times New Roman"/>
          <w:i/>
          <w:color w:val="FF0000"/>
          <w:sz w:val="24"/>
          <w:szCs w:val="24"/>
        </w:rPr>
        <w:t>, añadirlo)</w:t>
      </w:r>
      <w:r w:rsidRPr="00807E23">
        <w:rPr>
          <w:rFonts w:ascii="Times New Roman" w:hAnsi="Times New Roman" w:cs="Times New Roman"/>
          <w:i/>
          <w:color w:val="FF0000"/>
          <w:sz w:val="24"/>
          <w:szCs w:val="24"/>
        </w:rPr>
        <w:t xml:space="preserve">. En un estudio para 177 países, Bai et al. (2021) reportan una prima </w:t>
      </w:r>
      <w:proofErr w:type="spellStart"/>
      <w:r w:rsidRPr="00807E23">
        <w:rPr>
          <w:rFonts w:ascii="Times New Roman" w:hAnsi="Times New Roman" w:cs="Times New Roman"/>
          <w:i/>
          <w:color w:val="FF0000"/>
          <w:sz w:val="24"/>
          <w:szCs w:val="24"/>
        </w:rPr>
        <w:t>CoNA</w:t>
      </w:r>
      <w:proofErr w:type="spellEnd"/>
      <w:r w:rsidRPr="00807E23">
        <w:rPr>
          <w:rFonts w:ascii="Times New Roman" w:hAnsi="Times New Roman" w:cs="Times New Roman"/>
          <w:i/>
          <w:color w:val="FF0000"/>
          <w:sz w:val="24"/>
          <w:szCs w:val="24"/>
        </w:rPr>
        <w:t>/</w:t>
      </w:r>
      <w:proofErr w:type="spellStart"/>
      <w:r w:rsidRPr="00807E23">
        <w:rPr>
          <w:rFonts w:ascii="Times New Roman" w:hAnsi="Times New Roman" w:cs="Times New Roman"/>
          <w:i/>
          <w:color w:val="FF0000"/>
          <w:sz w:val="24"/>
          <w:szCs w:val="24"/>
        </w:rPr>
        <w:t>CoCA</w:t>
      </w:r>
      <w:proofErr w:type="spellEnd"/>
      <w:r w:rsidRPr="00807E23">
        <w:rPr>
          <w:rFonts w:ascii="Times New Roman" w:hAnsi="Times New Roman" w:cs="Times New Roman"/>
          <w:i/>
          <w:color w:val="FF0000"/>
          <w:sz w:val="24"/>
          <w:szCs w:val="24"/>
        </w:rPr>
        <w:t xml:space="preserve"> mundial de 2.66, con</w:t>
      </w:r>
      <w:r w:rsidR="00DA53B3" w:rsidRPr="00807E23">
        <w:rPr>
          <w:rFonts w:ascii="Times New Roman" w:hAnsi="Times New Roman" w:cs="Times New Roman"/>
          <w:i/>
          <w:color w:val="FF0000"/>
          <w:sz w:val="24"/>
          <w:szCs w:val="24"/>
        </w:rPr>
        <w:t xml:space="preserve"> un valor de 2.21 para América Latina y el Caribe y de 2.18 para los países de ingreso medio-alto, al cual pertenece Colombia. </w:t>
      </w:r>
      <w:r w:rsidR="00DF3828" w:rsidRPr="00807E23">
        <w:rPr>
          <w:rFonts w:ascii="Times New Roman" w:hAnsi="Times New Roman" w:cs="Times New Roman"/>
          <w:i/>
          <w:color w:val="FF0000"/>
          <w:sz w:val="24"/>
          <w:szCs w:val="24"/>
        </w:rPr>
        <w:t>Todavía más, el resulta</w:t>
      </w:r>
      <w:r w:rsidR="00AE30E5" w:rsidRPr="00807E23">
        <w:rPr>
          <w:rFonts w:ascii="Times New Roman" w:hAnsi="Times New Roman" w:cs="Times New Roman"/>
          <w:i/>
          <w:color w:val="FF0000"/>
          <w:sz w:val="24"/>
          <w:szCs w:val="24"/>
        </w:rPr>
        <w:t xml:space="preserve">do de </w:t>
      </w:r>
      <w:proofErr w:type="spellStart"/>
      <w:r w:rsidR="00AE30E5" w:rsidRPr="00807E23">
        <w:rPr>
          <w:rFonts w:ascii="Times New Roman" w:hAnsi="Times New Roman" w:cs="Times New Roman"/>
          <w:i/>
          <w:color w:val="FF0000"/>
          <w:sz w:val="24"/>
          <w:szCs w:val="24"/>
        </w:rPr>
        <w:t>Yoshioka</w:t>
      </w:r>
      <w:proofErr w:type="spellEnd"/>
      <w:r w:rsidR="00AE30E5" w:rsidRPr="00807E23">
        <w:rPr>
          <w:rFonts w:ascii="Times New Roman" w:hAnsi="Times New Roman" w:cs="Times New Roman"/>
          <w:i/>
          <w:color w:val="FF0000"/>
          <w:sz w:val="24"/>
          <w:szCs w:val="24"/>
        </w:rPr>
        <w:t xml:space="preserve"> et al. (2025) para Cali en 2022 reporta una razón de 2.4, lo cual es consistente con nuestros resultados que muestran que </w:t>
      </w:r>
      <w:r w:rsidR="00AE30E5" w:rsidRPr="00807E23">
        <w:rPr>
          <w:rFonts w:ascii="Times New Roman" w:hAnsi="Times New Roman" w:cs="Times New Roman"/>
          <w:i/>
          <w:color w:val="FF0000"/>
          <w:sz w:val="24"/>
          <w:szCs w:val="24"/>
        </w:rPr>
        <w:lastRenderedPageBreak/>
        <w:t xml:space="preserve">esta prima se amplió marcadamente después de 2022, alcanzando 2.57 en 2024. Los estudios anteriores muestran primas </w:t>
      </w:r>
      <w:r w:rsidR="00985798" w:rsidRPr="00807E23">
        <w:rPr>
          <w:rFonts w:ascii="Times New Roman" w:hAnsi="Times New Roman" w:cs="Times New Roman"/>
          <w:i/>
          <w:color w:val="FF0000"/>
          <w:sz w:val="24"/>
          <w:szCs w:val="24"/>
        </w:rPr>
        <w:t>con niveles relativamente</w:t>
      </w:r>
      <w:r w:rsidR="00AE30E5" w:rsidRPr="00807E23">
        <w:rPr>
          <w:rFonts w:ascii="Times New Roman" w:hAnsi="Times New Roman" w:cs="Times New Roman"/>
          <w:i/>
          <w:color w:val="FF0000"/>
          <w:sz w:val="24"/>
          <w:szCs w:val="24"/>
        </w:rPr>
        <w:t xml:space="preserve"> más ba</w:t>
      </w:r>
      <w:r w:rsidR="00985798" w:rsidRPr="00807E23">
        <w:rPr>
          <w:rFonts w:ascii="Times New Roman" w:hAnsi="Times New Roman" w:cs="Times New Roman"/>
          <w:i/>
          <w:color w:val="FF0000"/>
          <w:sz w:val="24"/>
          <w:szCs w:val="24"/>
        </w:rPr>
        <w:t>jo</w:t>
      </w:r>
      <w:r w:rsidR="00AE30E5" w:rsidRPr="00807E23">
        <w:rPr>
          <w:rFonts w:ascii="Times New Roman" w:hAnsi="Times New Roman" w:cs="Times New Roman"/>
          <w:i/>
          <w:color w:val="FF0000"/>
          <w:sz w:val="24"/>
          <w:szCs w:val="24"/>
        </w:rPr>
        <w:t xml:space="preserve">s. </w:t>
      </w:r>
      <w:r w:rsidR="00985798" w:rsidRPr="00807E23">
        <w:rPr>
          <w:rFonts w:ascii="Times New Roman" w:hAnsi="Times New Roman" w:cs="Times New Roman"/>
          <w:i/>
          <w:color w:val="FF0000"/>
          <w:sz w:val="24"/>
          <w:szCs w:val="24"/>
        </w:rPr>
        <w:t xml:space="preserve">Para Cali, se ha reportado una razón </w:t>
      </w:r>
      <w:proofErr w:type="spellStart"/>
      <w:r w:rsidR="00985798" w:rsidRPr="00807E23">
        <w:rPr>
          <w:rFonts w:ascii="Times New Roman" w:hAnsi="Times New Roman" w:cs="Times New Roman"/>
          <w:i/>
          <w:color w:val="FF0000"/>
          <w:sz w:val="24"/>
          <w:szCs w:val="24"/>
        </w:rPr>
        <w:t>CoRD</w:t>
      </w:r>
      <w:proofErr w:type="spellEnd"/>
      <w:r w:rsidR="00985798" w:rsidRPr="00807E23">
        <w:rPr>
          <w:rFonts w:ascii="Times New Roman" w:hAnsi="Times New Roman" w:cs="Times New Roman"/>
          <w:i/>
          <w:color w:val="FF0000"/>
          <w:sz w:val="24"/>
          <w:szCs w:val="24"/>
        </w:rPr>
        <w:t>/</w:t>
      </w:r>
      <w:proofErr w:type="spellStart"/>
      <w:r w:rsidR="00985798" w:rsidRPr="00807E23">
        <w:rPr>
          <w:rFonts w:ascii="Times New Roman" w:hAnsi="Times New Roman" w:cs="Times New Roman"/>
          <w:i/>
          <w:color w:val="FF0000"/>
          <w:sz w:val="24"/>
          <w:szCs w:val="24"/>
        </w:rPr>
        <w:t>CoNA</w:t>
      </w:r>
      <w:proofErr w:type="spellEnd"/>
      <w:r w:rsidR="00985798" w:rsidRPr="00807E23">
        <w:rPr>
          <w:rFonts w:ascii="Times New Roman" w:hAnsi="Times New Roman" w:cs="Times New Roman"/>
          <w:i/>
          <w:color w:val="FF0000"/>
          <w:sz w:val="24"/>
          <w:szCs w:val="24"/>
        </w:rPr>
        <w:t xml:space="preserve"> de 1.4 en 2022, y el reporte global de FAO (2021) reporta, para South American </w:t>
      </w:r>
      <w:proofErr w:type="spellStart"/>
      <w:r w:rsidR="00985798" w:rsidRPr="00807E23">
        <w:rPr>
          <w:rFonts w:ascii="Times New Roman" w:hAnsi="Times New Roman" w:cs="Times New Roman"/>
          <w:i/>
          <w:color w:val="FF0000"/>
          <w:sz w:val="24"/>
          <w:szCs w:val="24"/>
        </w:rPr>
        <w:t>countries</w:t>
      </w:r>
      <w:proofErr w:type="spellEnd"/>
      <w:r w:rsidR="00985798" w:rsidRPr="00807E23">
        <w:rPr>
          <w:rFonts w:ascii="Times New Roman" w:hAnsi="Times New Roman" w:cs="Times New Roman"/>
          <w:i/>
          <w:color w:val="FF0000"/>
          <w:sz w:val="24"/>
          <w:szCs w:val="24"/>
        </w:rPr>
        <w:t xml:space="preserve">, </w:t>
      </w:r>
      <w:proofErr w:type="spellStart"/>
      <w:r w:rsidR="00985798" w:rsidRPr="00807E23">
        <w:rPr>
          <w:rFonts w:ascii="Times New Roman" w:hAnsi="Times New Roman" w:cs="Times New Roman"/>
          <w:i/>
          <w:color w:val="FF0000"/>
          <w:sz w:val="24"/>
          <w:szCs w:val="24"/>
        </w:rPr>
        <w:t>also</w:t>
      </w:r>
      <w:proofErr w:type="spellEnd"/>
      <w:r w:rsidR="00985798" w:rsidRPr="00807E23">
        <w:rPr>
          <w:rFonts w:ascii="Times New Roman" w:hAnsi="Times New Roman" w:cs="Times New Roman"/>
          <w:i/>
          <w:color w:val="FF0000"/>
          <w:sz w:val="24"/>
          <w:szCs w:val="24"/>
        </w:rPr>
        <w:t xml:space="preserve"> a </w:t>
      </w:r>
      <w:proofErr w:type="spellStart"/>
      <w:r w:rsidR="00985798" w:rsidRPr="00807E23">
        <w:rPr>
          <w:rFonts w:ascii="Times New Roman" w:hAnsi="Times New Roman" w:cs="Times New Roman"/>
          <w:i/>
          <w:color w:val="FF0000"/>
          <w:sz w:val="24"/>
          <w:szCs w:val="24"/>
        </w:rPr>
        <w:t>CoRD:CoNA</w:t>
      </w:r>
      <w:proofErr w:type="spellEnd"/>
      <w:r w:rsidR="00985798" w:rsidRPr="00807E23">
        <w:rPr>
          <w:rFonts w:ascii="Times New Roman" w:hAnsi="Times New Roman" w:cs="Times New Roman"/>
          <w:i/>
          <w:color w:val="FF0000"/>
          <w:sz w:val="24"/>
          <w:szCs w:val="24"/>
        </w:rPr>
        <w:t xml:space="preserve"> ratio </w:t>
      </w:r>
      <w:proofErr w:type="spellStart"/>
      <w:r w:rsidR="00985798" w:rsidRPr="00807E23">
        <w:rPr>
          <w:rFonts w:ascii="Times New Roman" w:hAnsi="Times New Roman" w:cs="Times New Roman"/>
          <w:i/>
          <w:color w:val="FF0000"/>
          <w:sz w:val="24"/>
          <w:szCs w:val="24"/>
        </w:rPr>
        <w:t>of</w:t>
      </w:r>
      <w:proofErr w:type="spellEnd"/>
      <w:r w:rsidR="00985798" w:rsidRPr="00807E23">
        <w:rPr>
          <w:rFonts w:ascii="Times New Roman" w:hAnsi="Times New Roman" w:cs="Times New Roman"/>
          <w:i/>
          <w:color w:val="FF0000"/>
          <w:sz w:val="24"/>
          <w:szCs w:val="24"/>
        </w:rPr>
        <w:t xml:space="preserve"> 1.4. </w:t>
      </w:r>
      <w:r w:rsidR="003B3A43" w:rsidRPr="00807E23">
        <w:rPr>
          <w:rFonts w:ascii="Times New Roman" w:hAnsi="Times New Roman" w:cs="Times New Roman"/>
          <w:i/>
          <w:color w:val="FF0000"/>
          <w:sz w:val="24"/>
          <w:szCs w:val="24"/>
        </w:rPr>
        <w:t xml:space="preserve">Utilizando otra dieta de referencia, </w:t>
      </w:r>
      <w:proofErr w:type="spellStart"/>
      <w:r w:rsidR="003B3A43" w:rsidRPr="00807E23">
        <w:rPr>
          <w:rFonts w:ascii="Times New Roman" w:hAnsi="Times New Roman" w:cs="Times New Roman"/>
          <w:i/>
          <w:color w:val="FF0000"/>
          <w:sz w:val="24"/>
          <w:szCs w:val="24"/>
        </w:rPr>
        <w:t>the</w:t>
      </w:r>
      <w:proofErr w:type="spellEnd"/>
      <w:r w:rsidR="003B3A43" w:rsidRPr="00807E23">
        <w:rPr>
          <w:rFonts w:ascii="Times New Roman" w:hAnsi="Times New Roman" w:cs="Times New Roman"/>
          <w:i/>
          <w:color w:val="FF0000"/>
          <w:sz w:val="24"/>
          <w:szCs w:val="24"/>
        </w:rPr>
        <w:t xml:space="preserve"> EAT-Lance </w:t>
      </w:r>
      <w:proofErr w:type="spellStart"/>
      <w:r w:rsidR="003B3A43" w:rsidRPr="00807E23">
        <w:rPr>
          <w:rFonts w:ascii="Times New Roman" w:hAnsi="Times New Roman" w:cs="Times New Roman"/>
          <w:i/>
          <w:color w:val="FF0000"/>
          <w:sz w:val="24"/>
          <w:szCs w:val="24"/>
        </w:rPr>
        <w:t>diet</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Hirvonen</w:t>
      </w:r>
      <w:proofErr w:type="spellEnd"/>
      <w:r w:rsidR="003B3A43" w:rsidRPr="00807E23">
        <w:rPr>
          <w:rFonts w:ascii="Times New Roman" w:hAnsi="Times New Roman" w:cs="Times New Roman"/>
          <w:i/>
          <w:color w:val="FF0000"/>
          <w:sz w:val="24"/>
          <w:szCs w:val="24"/>
        </w:rPr>
        <w:t xml:space="preserve"> et al. (2019) también muestra que el costo adicional de mejorar la dieta nutricionalmente adecuada es </w:t>
      </w:r>
      <w:proofErr w:type="spellStart"/>
      <w:r w:rsidR="003B3A43" w:rsidRPr="00807E23">
        <w:rPr>
          <w:rFonts w:ascii="Times New Roman" w:hAnsi="Times New Roman" w:cs="Times New Roman"/>
          <w:i/>
          <w:color w:val="FF0000"/>
          <w:sz w:val="24"/>
          <w:szCs w:val="24"/>
        </w:rPr>
        <w:t>by</w:t>
      </w:r>
      <w:proofErr w:type="spellEnd"/>
      <w:r w:rsidR="003B3A43" w:rsidRPr="00807E23">
        <w:rPr>
          <w:rFonts w:ascii="Times New Roman" w:hAnsi="Times New Roman" w:cs="Times New Roman"/>
          <w:i/>
          <w:color w:val="FF0000"/>
          <w:sz w:val="24"/>
          <w:szCs w:val="24"/>
        </w:rPr>
        <w:t xml:space="preserve"> a mean factor </w:t>
      </w:r>
      <w:proofErr w:type="spellStart"/>
      <w:r w:rsidR="003B3A43" w:rsidRPr="00807E23">
        <w:rPr>
          <w:rFonts w:ascii="Times New Roman" w:hAnsi="Times New Roman" w:cs="Times New Roman"/>
          <w:i/>
          <w:color w:val="FF0000"/>
          <w:sz w:val="24"/>
          <w:szCs w:val="24"/>
        </w:rPr>
        <w:t>of</w:t>
      </w:r>
      <w:proofErr w:type="spellEnd"/>
      <w:r w:rsidR="003B3A43" w:rsidRPr="00807E23">
        <w:rPr>
          <w:rFonts w:ascii="Times New Roman" w:hAnsi="Times New Roman" w:cs="Times New Roman"/>
          <w:i/>
          <w:color w:val="FF0000"/>
          <w:sz w:val="24"/>
          <w:szCs w:val="24"/>
        </w:rPr>
        <w:t xml:space="preserve"> 1.60 (IQR: 1.41 – 1.78) </w:t>
      </w:r>
      <w:proofErr w:type="spellStart"/>
      <w:r w:rsidR="003B3A43" w:rsidRPr="00807E23">
        <w:rPr>
          <w:rFonts w:ascii="Times New Roman" w:hAnsi="Times New Roman" w:cs="Times New Roman"/>
          <w:i/>
          <w:color w:val="FF0000"/>
          <w:sz w:val="24"/>
          <w:szCs w:val="24"/>
        </w:rPr>
        <w:t>taking</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into</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account</w:t>
      </w:r>
      <w:proofErr w:type="spellEnd"/>
      <w:r w:rsidR="003B3A43" w:rsidRPr="00807E23">
        <w:rPr>
          <w:rFonts w:ascii="Times New Roman" w:hAnsi="Times New Roman" w:cs="Times New Roman"/>
          <w:i/>
          <w:color w:val="FF0000"/>
          <w:sz w:val="24"/>
          <w:szCs w:val="24"/>
        </w:rPr>
        <w:t xml:space="preserve"> 159 </w:t>
      </w:r>
      <w:proofErr w:type="spellStart"/>
      <w:r w:rsidR="003B3A43" w:rsidRPr="00807E23">
        <w:rPr>
          <w:rFonts w:ascii="Times New Roman" w:hAnsi="Times New Roman" w:cs="Times New Roman"/>
          <w:i/>
          <w:color w:val="FF0000"/>
          <w:sz w:val="24"/>
          <w:szCs w:val="24"/>
        </w:rPr>
        <w:t>countries</w:t>
      </w:r>
      <w:proofErr w:type="spellEnd"/>
      <w:r w:rsidR="003B3A43" w:rsidRPr="00807E23">
        <w:rPr>
          <w:rFonts w:ascii="Times New Roman" w:hAnsi="Times New Roman" w:cs="Times New Roman"/>
          <w:i/>
          <w:color w:val="FF0000"/>
          <w:sz w:val="24"/>
          <w:szCs w:val="24"/>
        </w:rPr>
        <w:t xml:space="preserve">, and a similar </w:t>
      </w:r>
      <w:proofErr w:type="spellStart"/>
      <w:r w:rsidR="003B3A43" w:rsidRPr="00807E23">
        <w:rPr>
          <w:rFonts w:ascii="Times New Roman" w:hAnsi="Times New Roman" w:cs="Times New Roman"/>
          <w:i/>
          <w:color w:val="FF0000"/>
          <w:sz w:val="24"/>
          <w:szCs w:val="24"/>
        </w:rPr>
        <w:t>value</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for</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Latin</w:t>
      </w:r>
      <w:proofErr w:type="spellEnd"/>
      <w:r w:rsidR="003B3A43" w:rsidRPr="00807E23">
        <w:rPr>
          <w:rFonts w:ascii="Times New Roman" w:hAnsi="Times New Roman" w:cs="Times New Roman"/>
          <w:i/>
          <w:color w:val="FF0000"/>
          <w:sz w:val="24"/>
          <w:szCs w:val="24"/>
        </w:rPr>
        <w:t xml:space="preserve"> </w:t>
      </w:r>
      <w:proofErr w:type="spellStart"/>
      <w:r w:rsidR="003B3A43" w:rsidRPr="00807E23">
        <w:rPr>
          <w:rFonts w:ascii="Times New Roman" w:hAnsi="Times New Roman" w:cs="Times New Roman"/>
          <w:i/>
          <w:color w:val="FF0000"/>
          <w:sz w:val="24"/>
          <w:szCs w:val="24"/>
        </w:rPr>
        <w:t>America</w:t>
      </w:r>
      <w:proofErr w:type="spellEnd"/>
      <w:r w:rsidR="003B3A43" w:rsidRPr="00807E23">
        <w:rPr>
          <w:rFonts w:ascii="Times New Roman" w:hAnsi="Times New Roman" w:cs="Times New Roman"/>
          <w:i/>
          <w:color w:val="FF0000"/>
          <w:sz w:val="24"/>
          <w:szCs w:val="24"/>
        </w:rPr>
        <w:t xml:space="preserve"> and </w:t>
      </w:r>
      <w:proofErr w:type="spellStart"/>
      <w:r w:rsidR="003B3A43" w:rsidRPr="00807E23">
        <w:rPr>
          <w:rFonts w:ascii="Times New Roman" w:hAnsi="Times New Roman" w:cs="Times New Roman"/>
          <w:i/>
          <w:color w:val="FF0000"/>
          <w:sz w:val="24"/>
          <w:szCs w:val="24"/>
        </w:rPr>
        <w:t>Caribbean</w:t>
      </w:r>
      <w:proofErr w:type="spellEnd"/>
      <w:r w:rsidR="003B3A43" w:rsidRPr="00807E23">
        <w:rPr>
          <w:rFonts w:ascii="Times New Roman" w:hAnsi="Times New Roman" w:cs="Times New Roman"/>
          <w:i/>
          <w:color w:val="FF0000"/>
          <w:sz w:val="24"/>
          <w:szCs w:val="24"/>
        </w:rPr>
        <w:t xml:space="preserve"> región. </w:t>
      </w:r>
      <w:r w:rsidR="00985798" w:rsidRPr="00807E23">
        <w:rPr>
          <w:rFonts w:ascii="Times New Roman" w:hAnsi="Times New Roman" w:cs="Times New Roman"/>
          <w:i/>
          <w:color w:val="FF0000"/>
          <w:sz w:val="24"/>
          <w:szCs w:val="24"/>
        </w:rPr>
        <w:t xml:space="preserve">Esta evidencia sugiere que es X% mayor que …, lo cual confirma que el costo adicional de … </w:t>
      </w:r>
    </w:p>
    <w:p w:rsidR="00AD7C92" w:rsidRPr="006A7888" w:rsidRDefault="00FF5EC4" w:rsidP="006A7888">
      <w:pPr>
        <w:pStyle w:val="Prrafodelista"/>
        <w:numPr>
          <w:ilvl w:val="0"/>
          <w:numId w:val="3"/>
        </w:numPr>
        <w:rPr>
          <w:rFonts w:ascii="Times New Roman" w:hAnsi="Times New Roman" w:cs="Times New Roman"/>
          <w:b/>
          <w:sz w:val="24"/>
          <w:szCs w:val="24"/>
          <w:lang w:val="es-MX"/>
        </w:rPr>
      </w:pPr>
      <w:r w:rsidRPr="006A7888">
        <w:rPr>
          <w:rFonts w:ascii="Times New Roman" w:hAnsi="Times New Roman" w:cs="Times New Roman"/>
          <w:b/>
          <w:sz w:val="24"/>
          <w:szCs w:val="24"/>
          <w:lang w:val="es-MX"/>
        </w:rPr>
        <w:t>Comparación</w:t>
      </w:r>
      <w:r w:rsidR="00AD7C92" w:rsidRPr="006A7888">
        <w:rPr>
          <w:rFonts w:ascii="Times New Roman" w:hAnsi="Times New Roman" w:cs="Times New Roman"/>
          <w:b/>
          <w:sz w:val="24"/>
          <w:szCs w:val="24"/>
          <w:lang w:val="es-MX"/>
        </w:rPr>
        <w:t xml:space="preserve"> entre ciudades </w:t>
      </w:r>
      <w:r w:rsidRPr="006A7888">
        <w:rPr>
          <w:rFonts w:ascii="Times New Roman" w:hAnsi="Times New Roman" w:cs="Times New Roman"/>
          <w:b/>
          <w:sz w:val="24"/>
          <w:szCs w:val="24"/>
          <w:lang w:val="es-MX"/>
        </w:rPr>
        <w:t>(2 párrafos)</w:t>
      </w:r>
    </w:p>
    <w:p w:rsidR="00712EF5" w:rsidRDefault="00076F60" w:rsidP="00076F60">
      <w:pPr>
        <w:jc w:val="both"/>
        <w:rPr>
          <w:rFonts w:ascii="Times New Roman" w:hAnsi="Times New Roman" w:cs="Times New Roman"/>
          <w:sz w:val="24"/>
          <w:szCs w:val="24"/>
          <w:lang w:val="es-MX"/>
        </w:rPr>
      </w:pPr>
      <w:r w:rsidRPr="00076F60">
        <w:rPr>
          <w:rFonts w:ascii="Times New Roman" w:hAnsi="Times New Roman" w:cs="Times New Roman"/>
          <w:sz w:val="24"/>
          <w:szCs w:val="24"/>
          <w:lang w:val="es-MX"/>
        </w:rPr>
        <w:t xml:space="preserve">La jerarquía de costos </w:t>
      </w:r>
      <w:proofErr w:type="spellStart"/>
      <w:r w:rsidRPr="00076F60">
        <w:rPr>
          <w:rFonts w:ascii="Times New Roman" w:hAnsi="Times New Roman" w:cs="Times New Roman"/>
          <w:sz w:val="24"/>
          <w:szCs w:val="24"/>
          <w:lang w:val="es-MX"/>
        </w:rPr>
        <w:t>CoCA</w:t>
      </w:r>
      <w:proofErr w:type="spellEnd"/>
      <w:r w:rsidRPr="00076F60">
        <w:rPr>
          <w:rFonts w:ascii="Times New Roman" w:hAnsi="Times New Roman" w:cs="Times New Roman"/>
          <w:sz w:val="24"/>
          <w:szCs w:val="24"/>
          <w:lang w:val="es-MX"/>
        </w:rPr>
        <w:t xml:space="preserve"> &lt; </w:t>
      </w:r>
      <w:proofErr w:type="spellStart"/>
      <w:r w:rsidRPr="00076F60">
        <w:rPr>
          <w:rFonts w:ascii="Times New Roman" w:hAnsi="Times New Roman" w:cs="Times New Roman"/>
          <w:sz w:val="24"/>
          <w:szCs w:val="24"/>
          <w:lang w:val="es-MX"/>
        </w:rPr>
        <w:t>CoNA</w:t>
      </w:r>
      <w:proofErr w:type="spellEnd"/>
      <w:r w:rsidRPr="00076F60">
        <w:rPr>
          <w:rFonts w:ascii="Times New Roman" w:hAnsi="Times New Roman" w:cs="Times New Roman"/>
          <w:sz w:val="24"/>
          <w:szCs w:val="24"/>
          <w:lang w:val="es-MX"/>
        </w:rPr>
        <w:t xml:space="preserve"> &lt; </w:t>
      </w:r>
      <w:proofErr w:type="spellStart"/>
      <w:r w:rsidRPr="00076F60">
        <w:rPr>
          <w:rFonts w:ascii="Times New Roman" w:hAnsi="Times New Roman" w:cs="Times New Roman"/>
          <w:sz w:val="24"/>
          <w:szCs w:val="24"/>
          <w:lang w:val="es-MX"/>
        </w:rPr>
        <w:t>CoRD</w:t>
      </w:r>
      <w:proofErr w:type="spellEnd"/>
      <w:r w:rsidRPr="00076F60">
        <w:rPr>
          <w:rFonts w:ascii="Times New Roman" w:hAnsi="Times New Roman" w:cs="Times New Roman"/>
          <w:sz w:val="24"/>
          <w:szCs w:val="24"/>
          <w:lang w:val="es-MX"/>
        </w:rPr>
        <w:t xml:space="preserve"> se mantiene sin excepción en las tres ciudades y a lo largo de todo el período, </w:t>
      </w:r>
      <w:r w:rsidR="00712EF5" w:rsidRPr="00712EF5">
        <w:rPr>
          <w:rFonts w:ascii="Times New Roman" w:hAnsi="Times New Roman" w:cs="Times New Roman"/>
          <w:sz w:val="24"/>
          <w:szCs w:val="24"/>
          <w:lang w:val="es-MX"/>
        </w:rPr>
        <w:t xml:space="preserve">aunque el ordenamiento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depende del modelo considerado: Bogotá exhibe el </w:t>
      </w:r>
      <w:proofErr w:type="spellStart"/>
      <w:r w:rsidR="00712EF5" w:rsidRPr="00712EF5">
        <w:rPr>
          <w:rFonts w:ascii="Times New Roman" w:hAnsi="Times New Roman" w:cs="Times New Roman"/>
          <w:sz w:val="24"/>
          <w:szCs w:val="24"/>
          <w:lang w:val="es-MX"/>
        </w:rPr>
        <w:t>CoCA</w:t>
      </w:r>
      <w:proofErr w:type="spellEnd"/>
      <w:r w:rsidR="00712EF5" w:rsidRPr="00712EF5">
        <w:rPr>
          <w:rFonts w:ascii="Times New Roman" w:hAnsi="Times New Roman" w:cs="Times New Roman"/>
          <w:sz w:val="24"/>
          <w:szCs w:val="24"/>
          <w:lang w:val="es-MX"/>
        </w:rPr>
        <w:t xml:space="preserve"> real y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real más altos, mientras que Medellín presenta el </w:t>
      </w:r>
      <w:proofErr w:type="spellStart"/>
      <w:r w:rsidR="00712EF5" w:rsidRPr="00712EF5">
        <w:rPr>
          <w:rFonts w:ascii="Times New Roman" w:hAnsi="Times New Roman" w:cs="Times New Roman"/>
          <w:sz w:val="24"/>
          <w:szCs w:val="24"/>
          <w:lang w:val="es-MX"/>
        </w:rPr>
        <w:t>CoNA</w:t>
      </w:r>
      <w:proofErr w:type="spellEnd"/>
      <w:r w:rsidR="00712EF5" w:rsidRPr="00712EF5">
        <w:rPr>
          <w:rFonts w:ascii="Times New Roman" w:hAnsi="Times New Roman" w:cs="Times New Roman"/>
          <w:sz w:val="24"/>
          <w:szCs w:val="24"/>
          <w:lang w:val="es-MX"/>
        </w:rPr>
        <w:t xml:space="preserve"> más alto, lo que revela que los mercados de alimentos feculentos básicos, de alimentos nutricionalmente densos y de alimentos alineados con las guías </w:t>
      </w:r>
      <w:proofErr w:type="spellStart"/>
      <w:r w:rsidR="00712EF5" w:rsidRPr="00712EF5">
        <w:rPr>
          <w:rFonts w:ascii="Times New Roman" w:hAnsi="Times New Roman" w:cs="Times New Roman"/>
          <w:sz w:val="24"/>
          <w:szCs w:val="24"/>
          <w:lang w:val="es-MX"/>
        </w:rPr>
        <w:t>dietarias</w:t>
      </w:r>
      <w:proofErr w:type="spellEnd"/>
      <w:r w:rsidR="00712EF5" w:rsidRPr="00712EF5">
        <w:rPr>
          <w:rFonts w:ascii="Times New Roman" w:hAnsi="Times New Roman" w:cs="Times New Roman"/>
          <w:sz w:val="24"/>
          <w:szCs w:val="24"/>
          <w:lang w:val="es-MX"/>
        </w:rPr>
        <w:t xml:space="preserve"> responden a estructuras de precios relativos distintas entre ciudades. El grado de </w:t>
      </w:r>
      <w:proofErr w:type="spellStart"/>
      <w:r w:rsidR="00712EF5" w:rsidRPr="00712EF5">
        <w:rPr>
          <w:rFonts w:ascii="Times New Roman" w:hAnsi="Times New Roman" w:cs="Times New Roman"/>
          <w:sz w:val="24"/>
          <w:szCs w:val="24"/>
          <w:lang w:val="es-MX"/>
        </w:rPr>
        <w:t>co-movimiento</w:t>
      </w:r>
      <w:proofErr w:type="spellEnd"/>
      <w:r w:rsidR="00712EF5" w:rsidRPr="00712EF5">
        <w:rPr>
          <w:rFonts w:ascii="Times New Roman" w:hAnsi="Times New Roman" w:cs="Times New Roman"/>
          <w:sz w:val="24"/>
          <w:szCs w:val="24"/>
          <w:lang w:val="es-MX"/>
        </w:rPr>
        <w:t xml:space="preserve"> entre ciudades varía según el modelo: las correlaciones de Pearson entre variaciones interanuales reales superan 0,93 para el </w:t>
      </w:r>
      <w:proofErr w:type="spellStart"/>
      <w:r w:rsidR="00712EF5" w:rsidRPr="00712EF5">
        <w:rPr>
          <w:rFonts w:ascii="Times New Roman" w:hAnsi="Times New Roman" w:cs="Times New Roman"/>
          <w:sz w:val="24"/>
          <w:szCs w:val="24"/>
          <w:lang w:val="es-MX"/>
        </w:rPr>
        <w:t>CoCA</w:t>
      </w:r>
      <w:proofErr w:type="spellEnd"/>
      <w:r w:rsidR="00712EF5" w:rsidRPr="00712EF5">
        <w:rPr>
          <w:rFonts w:ascii="Times New Roman" w:hAnsi="Times New Roman" w:cs="Times New Roman"/>
          <w:sz w:val="24"/>
          <w:szCs w:val="24"/>
          <w:lang w:val="es-MX"/>
        </w:rPr>
        <w:t xml:space="preserve">, pero son considerablemente más moderadas para el </w:t>
      </w:r>
      <w:proofErr w:type="spellStart"/>
      <w:r w:rsidR="00712EF5" w:rsidRPr="00712EF5">
        <w:rPr>
          <w:rFonts w:ascii="Times New Roman" w:hAnsi="Times New Roman" w:cs="Times New Roman"/>
          <w:sz w:val="24"/>
          <w:szCs w:val="24"/>
          <w:lang w:val="es-MX"/>
        </w:rPr>
        <w:t>CoNA</w:t>
      </w:r>
      <w:proofErr w:type="spellEnd"/>
      <w:r w:rsidR="00712EF5" w:rsidRPr="00712EF5">
        <w:rPr>
          <w:rFonts w:ascii="Times New Roman" w:hAnsi="Times New Roman" w:cs="Times New Roman"/>
          <w:sz w:val="24"/>
          <w:szCs w:val="24"/>
          <w:lang w:val="es-MX"/>
        </w:rPr>
        <w:t xml:space="preserve"> (0,808--0,877) y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(0,776--0,864). Este patrón es consistente con evidencia sobre integración espacial de mercados en Colombia, que muestra que los productos agrícolas no procesados exhiben mayor </w:t>
      </w:r>
      <w:proofErr w:type="spellStart"/>
      <w:r w:rsidR="00712EF5" w:rsidRPr="00712EF5">
        <w:rPr>
          <w:rFonts w:ascii="Times New Roman" w:hAnsi="Times New Roman" w:cs="Times New Roman"/>
          <w:sz w:val="24"/>
          <w:szCs w:val="24"/>
          <w:lang w:val="es-MX"/>
        </w:rPr>
        <w:t>co-movimiento</w:t>
      </w:r>
      <w:proofErr w:type="spellEnd"/>
      <w:r w:rsidR="00712EF5" w:rsidRPr="00712EF5">
        <w:rPr>
          <w:rFonts w:ascii="Times New Roman" w:hAnsi="Times New Roman" w:cs="Times New Roman"/>
          <w:sz w:val="24"/>
          <w:szCs w:val="24"/>
          <w:lang w:val="es-MX"/>
        </w:rPr>
        <w:t xml:space="preserve"> de precios entre ciudades que los alimentos perecederos (Iregui y Otero, 2017), y con evidencia internacional que documenta que la </w:t>
      </w:r>
      <w:proofErr w:type="spellStart"/>
      <w:r w:rsidR="00712EF5" w:rsidRPr="00712EF5">
        <w:rPr>
          <w:rFonts w:ascii="Times New Roman" w:hAnsi="Times New Roman" w:cs="Times New Roman"/>
          <w:sz w:val="24"/>
          <w:szCs w:val="24"/>
          <w:lang w:val="es-MX"/>
        </w:rPr>
        <w:t>almacenabilidad</w:t>
      </w:r>
      <w:proofErr w:type="spellEnd"/>
      <w:r w:rsidR="00712EF5" w:rsidRPr="00712EF5">
        <w:rPr>
          <w:rFonts w:ascii="Times New Roman" w:hAnsi="Times New Roman" w:cs="Times New Roman"/>
          <w:sz w:val="24"/>
          <w:szCs w:val="24"/>
          <w:lang w:val="es-MX"/>
        </w:rPr>
        <w:t xml:space="preserve"> de los básicos facilita el arbitraje espacial de una manera que los alimentos perecederos y nutricionalmente más densos no pueden replicar (Gilbert y Morgan, 2010) [Pendiente referencia: evidencia adicional sobre segmentación geográfica de precios de alimentos nutricionalmente densos en países de ingreso medio]. Las brechas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son más estables en el tiempo para el </w:t>
      </w:r>
      <w:proofErr w:type="spellStart"/>
      <w:r w:rsidR="00E15974">
        <w:rPr>
          <w:rFonts w:ascii="Times New Roman" w:hAnsi="Times New Roman" w:cs="Times New Roman"/>
          <w:sz w:val="24"/>
          <w:szCs w:val="24"/>
          <w:lang w:val="es-MX"/>
        </w:rPr>
        <w:t>CoCA</w:t>
      </w:r>
      <w:proofErr w:type="spellEnd"/>
      <w:r w:rsidR="00E15974">
        <w:rPr>
          <w:rFonts w:ascii="Times New Roman" w:hAnsi="Times New Roman" w:cs="Times New Roman"/>
          <w:sz w:val="24"/>
          <w:szCs w:val="24"/>
          <w:lang w:val="es-MX"/>
        </w:rPr>
        <w:t xml:space="preserve"> y el </w:t>
      </w:r>
      <w:proofErr w:type="spellStart"/>
      <w:r w:rsidR="00E15974">
        <w:rPr>
          <w:rFonts w:ascii="Times New Roman" w:hAnsi="Times New Roman" w:cs="Times New Roman"/>
          <w:sz w:val="24"/>
          <w:szCs w:val="24"/>
          <w:lang w:val="es-MX"/>
        </w:rPr>
        <w:t>CoNA</w:t>
      </w:r>
      <w:proofErr w:type="spellEnd"/>
      <w:r w:rsidR="00E15974">
        <w:rPr>
          <w:rFonts w:ascii="Times New Roman" w:hAnsi="Times New Roman" w:cs="Times New Roman"/>
          <w:sz w:val="24"/>
          <w:szCs w:val="24"/>
          <w:lang w:val="es-MX"/>
        </w:rPr>
        <w:t xml:space="preserve"> que para</w:t>
      </w:r>
      <w:r w:rsidR="00712EF5" w:rsidRPr="00712EF5">
        <w:rPr>
          <w:rFonts w:ascii="Times New Roman" w:hAnsi="Times New Roman" w:cs="Times New Roman"/>
          <w:sz w:val="24"/>
          <w:szCs w:val="24"/>
          <w:lang w:val="es-MX"/>
        </w:rPr>
        <w:t xml:space="preserve"> el </w:t>
      </w:r>
      <w:proofErr w:type="spellStart"/>
      <w:r w:rsidR="00712EF5" w:rsidRPr="00712EF5">
        <w:rPr>
          <w:rFonts w:ascii="Times New Roman" w:hAnsi="Times New Roman" w:cs="Times New Roman"/>
          <w:sz w:val="24"/>
          <w:szCs w:val="24"/>
          <w:lang w:val="es-MX"/>
        </w:rPr>
        <w:t>CoRD</w:t>
      </w:r>
      <w:proofErr w:type="spellEnd"/>
      <w:r w:rsidR="00E15974">
        <w:rPr>
          <w:rFonts w:ascii="Times New Roman" w:hAnsi="Times New Roman" w:cs="Times New Roman"/>
          <w:sz w:val="24"/>
          <w:szCs w:val="24"/>
          <w:lang w:val="es-MX"/>
        </w:rPr>
        <w:t xml:space="preserve"> </w:t>
      </w:r>
      <w:r w:rsidR="00712EF5" w:rsidRPr="00712EF5">
        <w:rPr>
          <w:rFonts w:ascii="Times New Roman" w:hAnsi="Times New Roman" w:cs="Times New Roman"/>
          <w:sz w:val="24"/>
          <w:szCs w:val="24"/>
          <w:lang w:val="es-MX"/>
        </w:rPr>
        <w:t xml:space="preserve">(véase Apéndice A). Esta estabilidad obedece al mecanismo de sustitución del modelo de programación lineal: cuando el precio relativo de un alimento aumenta, el modelo lo reemplaza por otro de perfil nutricional equivalente, manteniendo el costo mínimo de adecuación nutricional relativamente estable (Bai et al., 2020; Masters et al., 2018). El </w:t>
      </w:r>
      <w:proofErr w:type="spellStart"/>
      <w:r w:rsidR="00712EF5" w:rsidRPr="00712EF5">
        <w:rPr>
          <w:rFonts w:ascii="Times New Roman" w:hAnsi="Times New Roman" w:cs="Times New Roman"/>
          <w:sz w:val="24"/>
          <w:szCs w:val="24"/>
          <w:lang w:val="es-MX"/>
        </w:rPr>
        <w:t>CoRD</w:t>
      </w:r>
      <w:proofErr w:type="spellEnd"/>
      <w:r w:rsidR="00712EF5" w:rsidRPr="00712EF5">
        <w:rPr>
          <w:rFonts w:ascii="Times New Roman" w:hAnsi="Times New Roman" w:cs="Times New Roman"/>
          <w:sz w:val="24"/>
          <w:szCs w:val="24"/>
          <w:lang w:val="es-MX"/>
        </w:rPr>
        <w:t xml:space="preserve"> </w:t>
      </w:r>
      <w:r w:rsidR="00E15974">
        <w:rPr>
          <w:rFonts w:ascii="Times New Roman" w:hAnsi="Times New Roman" w:cs="Times New Roman"/>
          <w:sz w:val="24"/>
          <w:szCs w:val="24"/>
          <w:lang w:val="es-MX"/>
        </w:rPr>
        <w:t>está más restringido en esta flexibilidad, pues</w:t>
      </w:r>
      <w:r w:rsidR="00712EF5" w:rsidRPr="00712EF5">
        <w:rPr>
          <w:rFonts w:ascii="Times New Roman" w:hAnsi="Times New Roman" w:cs="Times New Roman"/>
          <w:sz w:val="24"/>
          <w:szCs w:val="24"/>
          <w:lang w:val="es-MX"/>
        </w:rPr>
        <w:t xml:space="preserve"> las porciones recomendadas por las GABA restringen la sustitución entre grupos, lo que los hace más sensibles a los movimientos de precios locales y más propensos a ampliar sus brechas </w:t>
      </w:r>
      <w:proofErr w:type="spellStart"/>
      <w:r w:rsidR="00712EF5" w:rsidRPr="00712EF5">
        <w:rPr>
          <w:rFonts w:ascii="Times New Roman" w:hAnsi="Times New Roman" w:cs="Times New Roman"/>
          <w:sz w:val="24"/>
          <w:szCs w:val="24"/>
          <w:lang w:val="es-MX"/>
        </w:rPr>
        <w:t>intercidades</w:t>
      </w:r>
      <w:proofErr w:type="spellEnd"/>
      <w:r w:rsidR="00712EF5" w:rsidRPr="00712EF5">
        <w:rPr>
          <w:rFonts w:ascii="Times New Roman" w:hAnsi="Times New Roman" w:cs="Times New Roman"/>
          <w:sz w:val="24"/>
          <w:szCs w:val="24"/>
          <w:lang w:val="es-MX"/>
        </w:rPr>
        <w:t xml:space="preserve"> en el tiempo.</w:t>
      </w:r>
    </w:p>
    <w:p w:rsidR="00712EF5" w:rsidRDefault="00712EF5" w:rsidP="00076F60">
      <w:pPr>
        <w:jc w:val="both"/>
        <w:rPr>
          <w:rFonts w:ascii="Times New Roman" w:hAnsi="Times New Roman" w:cs="Times New Roman"/>
          <w:sz w:val="24"/>
          <w:szCs w:val="24"/>
          <w:lang w:val="es-MX"/>
        </w:rPr>
      </w:pPr>
    </w:p>
    <w:p w:rsidR="00076F60" w:rsidRPr="00E15974" w:rsidRDefault="00E15974" w:rsidP="00076F60">
      <w:pPr>
        <w:jc w:val="both"/>
        <w:rPr>
          <w:rFonts w:ascii="Times New Roman" w:hAnsi="Times New Roman" w:cs="Times New Roman"/>
          <w:i/>
          <w:color w:val="FF0000"/>
          <w:sz w:val="24"/>
          <w:szCs w:val="24"/>
          <w:lang w:val="es-MX"/>
        </w:rPr>
      </w:pPr>
      <w:r w:rsidRPr="00E15974">
        <w:rPr>
          <w:rFonts w:ascii="Times New Roman" w:hAnsi="Times New Roman" w:cs="Times New Roman"/>
          <w:i/>
          <w:color w:val="FF0000"/>
          <w:sz w:val="24"/>
          <w:szCs w:val="24"/>
          <w:lang w:val="es-MX"/>
        </w:rPr>
        <w:t>A</w:t>
      </w:r>
      <w:r w:rsidR="00076F60" w:rsidRPr="00E15974">
        <w:rPr>
          <w:rFonts w:ascii="Times New Roman" w:hAnsi="Times New Roman" w:cs="Times New Roman"/>
          <w:i/>
          <w:color w:val="FF0000"/>
          <w:sz w:val="24"/>
          <w:szCs w:val="24"/>
          <w:lang w:val="es-MX"/>
        </w:rPr>
        <w:t xml:space="preserve">unque existen diferencias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que reflejan estructuras de precios y disponibilidad de alimentos distintas en diferentes segmentos del sistema alimentario urbano. Consistentemente, Bogotá exhibe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real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real más altos, mientras que Medellín presenta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más alto — una reordenación entre modelos que revela que los mercados de alimentos feculentos básicos, los mercados de alimentos nutricionalmente densos y los mercados de alimentos alineados con las guías </w:t>
      </w:r>
      <w:proofErr w:type="spellStart"/>
      <w:r w:rsidR="00076F60" w:rsidRPr="00E15974">
        <w:rPr>
          <w:rFonts w:ascii="Times New Roman" w:hAnsi="Times New Roman" w:cs="Times New Roman"/>
          <w:i/>
          <w:color w:val="FF0000"/>
          <w:sz w:val="24"/>
          <w:szCs w:val="24"/>
          <w:lang w:val="es-MX"/>
        </w:rPr>
        <w:t>dietarias</w:t>
      </w:r>
      <w:proofErr w:type="spellEnd"/>
      <w:r w:rsidR="00076F60" w:rsidRPr="00E15974">
        <w:rPr>
          <w:rFonts w:ascii="Times New Roman" w:hAnsi="Times New Roman" w:cs="Times New Roman"/>
          <w:i/>
          <w:color w:val="FF0000"/>
          <w:sz w:val="24"/>
          <w:szCs w:val="24"/>
          <w:lang w:val="es-MX"/>
        </w:rPr>
        <w:t xml:space="preserve"> responden a lógicas </w:t>
      </w:r>
      <w:r w:rsidR="00076F60" w:rsidRPr="00E15974">
        <w:rPr>
          <w:rFonts w:ascii="Times New Roman" w:hAnsi="Times New Roman" w:cs="Times New Roman"/>
          <w:i/>
          <w:color w:val="FF0000"/>
          <w:sz w:val="24"/>
          <w:szCs w:val="24"/>
          <w:lang w:val="es-MX"/>
        </w:rPr>
        <w:lastRenderedPageBreak/>
        <w:t xml:space="preserve">de precios relativos distintas entre sí. El grado de </w:t>
      </w:r>
      <w:proofErr w:type="spellStart"/>
      <w:r w:rsidR="00076F60" w:rsidRPr="00E15974">
        <w:rPr>
          <w:rFonts w:ascii="Times New Roman" w:hAnsi="Times New Roman" w:cs="Times New Roman"/>
          <w:i/>
          <w:color w:val="FF0000"/>
          <w:sz w:val="24"/>
          <w:szCs w:val="24"/>
          <w:lang w:val="es-MX"/>
        </w:rPr>
        <w:t>co-movimiento</w:t>
      </w:r>
      <w:proofErr w:type="spellEnd"/>
      <w:r w:rsidR="00076F60" w:rsidRPr="00E15974">
        <w:rPr>
          <w:rFonts w:ascii="Times New Roman" w:hAnsi="Times New Roman" w:cs="Times New Roman"/>
          <w:i/>
          <w:color w:val="FF0000"/>
          <w:sz w:val="24"/>
          <w:szCs w:val="24"/>
          <w:lang w:val="es-MX"/>
        </w:rPr>
        <w:t xml:space="preserve"> entre ciudades varía marcadamente según el modelo de dieta considerado: las correlaciones de Pearson entre las variaciones interanuales reales superan 0,93 para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pero son considerablemente más moderadas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(0,808--0,877)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(0,776--0,864). Este patrón es consistente con evidencia sobre integración espacial de mercados en Colombia, que muestra que los productos agrícolas no procesados tienden a exhibir mayor </w:t>
      </w:r>
      <w:proofErr w:type="spellStart"/>
      <w:r w:rsidR="00076F60" w:rsidRPr="00E15974">
        <w:rPr>
          <w:rFonts w:ascii="Times New Roman" w:hAnsi="Times New Roman" w:cs="Times New Roman"/>
          <w:i/>
          <w:color w:val="FF0000"/>
          <w:sz w:val="24"/>
          <w:szCs w:val="24"/>
          <w:lang w:val="es-MX"/>
        </w:rPr>
        <w:t>co-movimiento</w:t>
      </w:r>
      <w:proofErr w:type="spellEnd"/>
      <w:r w:rsidR="00076F60" w:rsidRPr="00E15974">
        <w:rPr>
          <w:rFonts w:ascii="Times New Roman" w:hAnsi="Times New Roman" w:cs="Times New Roman"/>
          <w:i/>
          <w:color w:val="FF0000"/>
          <w:sz w:val="24"/>
          <w:szCs w:val="24"/>
          <w:lang w:val="es-MX"/>
        </w:rPr>
        <w:t xml:space="preserve"> de precios entre ciudades que los alimentos perecederos o procesados (Iregui y Otero, 2017), y con evidencia internacional que documenta que la </w:t>
      </w:r>
      <w:proofErr w:type="spellStart"/>
      <w:r w:rsidR="00076F60" w:rsidRPr="00E15974">
        <w:rPr>
          <w:rFonts w:ascii="Times New Roman" w:hAnsi="Times New Roman" w:cs="Times New Roman"/>
          <w:i/>
          <w:color w:val="FF0000"/>
          <w:sz w:val="24"/>
          <w:szCs w:val="24"/>
          <w:lang w:val="es-MX"/>
        </w:rPr>
        <w:t>almacenabilidad</w:t>
      </w:r>
      <w:proofErr w:type="spellEnd"/>
      <w:r w:rsidR="00076F60" w:rsidRPr="00E15974">
        <w:rPr>
          <w:rFonts w:ascii="Times New Roman" w:hAnsi="Times New Roman" w:cs="Times New Roman"/>
          <w:i/>
          <w:color w:val="FF0000"/>
          <w:sz w:val="24"/>
          <w:szCs w:val="24"/>
          <w:lang w:val="es-MX"/>
        </w:rPr>
        <w:t xml:space="preserve"> de los alimentos básicos facilita el arbitraje espacial de una manera que los alimentos perecederos y nutricionalmente más densos no pueden replicar (Gilbert y Morgan, 2010) [Pendiente referencia: evidencia adicional sobre segmentación geográfica de precios de alimentos nutricionalmente densos en países de ingreso medio]. La mayor segmentación geográfica de los mercados de alimentos densos en nutrientes implica que las diferencias de precio entre ciudades para los componentes del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y del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son más persistentes y menos arbitradas que para los feculentos básicos, lo que explica en parte las diferencias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observadas en los niveles de costo de ambas dietas. No obstante, las brechas de costo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son más estables en el tiempo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que para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mientras que la brecha Bogotá--Cali en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pasó de 6,5\% en 2019 a 11,5\% en 2024, y la brecha equivalente en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de 4,9\% a 8,3\%, la brecha correspondiente para 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no muestra una tendencia temporal clara (véase Apéndice A). Esta mayor estabilidad temporal del </w:t>
      </w:r>
      <w:proofErr w:type="spellStart"/>
      <w:r w:rsidR="00076F60" w:rsidRPr="00E15974">
        <w:rPr>
          <w:rFonts w:ascii="Times New Roman" w:hAnsi="Times New Roman" w:cs="Times New Roman"/>
          <w:i/>
          <w:color w:val="FF0000"/>
          <w:sz w:val="24"/>
          <w:szCs w:val="24"/>
          <w:lang w:val="es-MX"/>
        </w:rPr>
        <w:t>CoNA</w:t>
      </w:r>
      <w:proofErr w:type="spellEnd"/>
      <w:r w:rsidR="00076F60" w:rsidRPr="00E15974">
        <w:rPr>
          <w:rFonts w:ascii="Times New Roman" w:hAnsi="Times New Roman" w:cs="Times New Roman"/>
          <w:i/>
          <w:color w:val="FF0000"/>
          <w:sz w:val="24"/>
          <w:szCs w:val="24"/>
          <w:lang w:val="es-MX"/>
        </w:rPr>
        <w:t xml:space="preserve"> obedece al mecanismo de sustitución inherente al modelo de programación lineal: cuando el precio relativo de un alimento aumenta, el modelo lo reemplaza por otro que provea perfiles nutricionales equivalentes a menor costo, manteniendo así el costo mínimo de adecuación nutricional relativamente estable frente a cambios en los precios relativos locales (Bai et al., 2020; Masters et al., 2018). El </w:t>
      </w:r>
      <w:proofErr w:type="spellStart"/>
      <w:r w:rsidR="00076F60" w:rsidRPr="00E15974">
        <w:rPr>
          <w:rFonts w:ascii="Times New Roman" w:hAnsi="Times New Roman" w:cs="Times New Roman"/>
          <w:i/>
          <w:color w:val="FF0000"/>
          <w:sz w:val="24"/>
          <w:szCs w:val="24"/>
          <w:lang w:val="es-MX"/>
        </w:rPr>
        <w:t>CoCA</w:t>
      </w:r>
      <w:proofErr w:type="spellEnd"/>
      <w:r w:rsidR="00076F60" w:rsidRPr="00E15974">
        <w:rPr>
          <w:rFonts w:ascii="Times New Roman" w:hAnsi="Times New Roman" w:cs="Times New Roman"/>
          <w:i/>
          <w:color w:val="FF0000"/>
          <w:sz w:val="24"/>
          <w:szCs w:val="24"/>
          <w:lang w:val="es-MX"/>
        </w:rPr>
        <w:t xml:space="preserve"> y el </w:t>
      </w:r>
      <w:proofErr w:type="spellStart"/>
      <w:r w:rsidR="00076F60" w:rsidRPr="00E15974">
        <w:rPr>
          <w:rFonts w:ascii="Times New Roman" w:hAnsi="Times New Roman" w:cs="Times New Roman"/>
          <w:i/>
          <w:color w:val="FF0000"/>
          <w:sz w:val="24"/>
          <w:szCs w:val="24"/>
          <w:lang w:val="es-MX"/>
        </w:rPr>
        <w:t>CoRD</w:t>
      </w:r>
      <w:proofErr w:type="spellEnd"/>
      <w:r w:rsidR="00076F60" w:rsidRPr="00E15974">
        <w:rPr>
          <w:rFonts w:ascii="Times New Roman" w:hAnsi="Times New Roman" w:cs="Times New Roman"/>
          <w:i/>
          <w:color w:val="FF0000"/>
          <w:sz w:val="24"/>
          <w:szCs w:val="24"/>
          <w:lang w:val="es-MX"/>
        </w:rPr>
        <w:t xml:space="preserve">, en cambio, no tienen esta flexibilidad de sustitución en igual medida — el primero porque queda anclado al alimento de menor costo por caloría disponible localmente, y el segundo porque las porciones recomendadas por las GABA restringen la sustitución entre grupos de alimentos —, lo que los hace más sensibles a los movimientos de precios locales y, por tanto, más propensos a que sus brechas </w:t>
      </w:r>
      <w:proofErr w:type="spellStart"/>
      <w:r w:rsidR="00076F60" w:rsidRPr="00E15974">
        <w:rPr>
          <w:rFonts w:ascii="Times New Roman" w:hAnsi="Times New Roman" w:cs="Times New Roman"/>
          <w:i/>
          <w:color w:val="FF0000"/>
          <w:sz w:val="24"/>
          <w:szCs w:val="24"/>
          <w:lang w:val="es-MX"/>
        </w:rPr>
        <w:t>intercidades</w:t>
      </w:r>
      <w:proofErr w:type="spellEnd"/>
      <w:r w:rsidR="00076F60" w:rsidRPr="00E15974">
        <w:rPr>
          <w:rFonts w:ascii="Times New Roman" w:hAnsi="Times New Roman" w:cs="Times New Roman"/>
          <w:i/>
          <w:color w:val="FF0000"/>
          <w:sz w:val="24"/>
          <w:szCs w:val="24"/>
          <w:lang w:val="es-MX"/>
        </w:rPr>
        <w:t xml:space="preserve"> se amplíen en el tiempo.</w:t>
      </w:r>
    </w:p>
    <w:p w:rsidR="00436E1F" w:rsidRPr="00436E1F" w:rsidRDefault="00FF5EC4" w:rsidP="00436E1F">
      <w:pPr>
        <w:rPr>
          <w:rFonts w:ascii="Times New Roman" w:hAnsi="Times New Roman" w:cs="Times New Roman"/>
          <w:i/>
          <w:color w:val="FF0000"/>
          <w:sz w:val="24"/>
          <w:szCs w:val="24"/>
          <w:lang w:val="es-MX"/>
        </w:rPr>
      </w:pPr>
      <w:r w:rsidRPr="00076F60">
        <w:rPr>
          <w:rFonts w:ascii="Times New Roman" w:hAnsi="Times New Roman" w:cs="Times New Roman"/>
          <w:i/>
          <w:color w:val="FF0000"/>
          <w:sz w:val="24"/>
          <w:szCs w:val="24"/>
          <w:lang w:val="es-MX"/>
        </w:rPr>
        <w:t xml:space="preserve">La jerarquía de los costos se mantiene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&lt;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&lt; </w:t>
      </w:r>
      <w:proofErr w:type="spellStart"/>
      <w:r w:rsidRPr="00076F60">
        <w:rPr>
          <w:rFonts w:ascii="Times New Roman" w:hAnsi="Times New Roman" w:cs="Times New Roman"/>
          <w:i/>
          <w:color w:val="FF0000"/>
          <w:sz w:val="24"/>
          <w:szCs w:val="24"/>
          <w:lang w:val="es-MX"/>
        </w:rPr>
        <w:t>CoRD</w:t>
      </w:r>
      <w:proofErr w:type="spellEnd"/>
      <w:r w:rsidRPr="00076F60">
        <w:rPr>
          <w:rFonts w:ascii="Times New Roman" w:hAnsi="Times New Roman" w:cs="Times New Roman"/>
          <w:i/>
          <w:color w:val="FF0000"/>
          <w:sz w:val="24"/>
          <w:szCs w:val="24"/>
          <w:lang w:val="es-MX"/>
        </w:rPr>
        <w:t xml:space="preserve"> se mantiene y, en términos generales, existen </w:t>
      </w:r>
      <w:proofErr w:type="spellStart"/>
      <w:r w:rsidRPr="00076F60">
        <w:rPr>
          <w:rFonts w:ascii="Times New Roman" w:hAnsi="Times New Roman" w:cs="Times New Roman"/>
          <w:i/>
          <w:color w:val="FF0000"/>
          <w:sz w:val="24"/>
          <w:szCs w:val="24"/>
          <w:lang w:val="es-MX"/>
        </w:rPr>
        <w:t>comovimientos</w:t>
      </w:r>
      <w:proofErr w:type="spellEnd"/>
      <w:r w:rsidRPr="00076F60">
        <w:rPr>
          <w:rFonts w:ascii="Times New Roman" w:hAnsi="Times New Roman" w:cs="Times New Roman"/>
          <w:i/>
          <w:color w:val="FF0000"/>
          <w:sz w:val="24"/>
          <w:szCs w:val="24"/>
          <w:lang w:val="es-MX"/>
        </w:rPr>
        <w:t xml:space="preserve"> entre las tres ciudades, hay diferencias que reflejan estructuras de precios y disponibilidad de alimentos locales en diferentes segmentos del sistema alimentario. Consistentemente, Bogotá exhibe el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real y el </w:t>
      </w:r>
      <w:proofErr w:type="spellStart"/>
      <w:r w:rsidRPr="00076F60">
        <w:rPr>
          <w:rFonts w:ascii="Times New Roman" w:hAnsi="Times New Roman" w:cs="Times New Roman"/>
          <w:i/>
          <w:color w:val="FF0000"/>
          <w:sz w:val="24"/>
          <w:szCs w:val="24"/>
          <w:lang w:val="es-MX"/>
        </w:rPr>
        <w:t>CoRD</w:t>
      </w:r>
      <w:proofErr w:type="spellEnd"/>
      <w:r w:rsidRPr="00076F60">
        <w:rPr>
          <w:rFonts w:ascii="Times New Roman" w:hAnsi="Times New Roman" w:cs="Times New Roman"/>
          <w:i/>
          <w:color w:val="FF0000"/>
          <w:sz w:val="24"/>
          <w:szCs w:val="24"/>
          <w:lang w:val="es-MX"/>
        </w:rPr>
        <w:t xml:space="preserve"> real más alto, mientras que Medellín muestra el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más alto. No obstante, al considerar, las correlaciones de Pearson entre las variaciones reales, superan el 0.93 para el caso de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lo cual verifica un patrón, consistente con estudios anteriores (Iregui y Otero, 2017), que sugieren que existe evidencia sobre la integración espacial de mercados en Colombia, que muestra que los productos agrícolas no procesados tienden a exhibir mayor </w:t>
      </w:r>
      <w:proofErr w:type="spellStart"/>
      <w:r w:rsidRPr="00076F60">
        <w:rPr>
          <w:rFonts w:ascii="Times New Roman" w:hAnsi="Times New Roman" w:cs="Times New Roman"/>
          <w:i/>
          <w:color w:val="FF0000"/>
          <w:sz w:val="24"/>
          <w:szCs w:val="24"/>
          <w:lang w:val="es-MX"/>
        </w:rPr>
        <w:t>co-movimiento</w:t>
      </w:r>
      <w:proofErr w:type="spellEnd"/>
      <w:r w:rsidRPr="00076F60">
        <w:rPr>
          <w:rFonts w:ascii="Times New Roman" w:hAnsi="Times New Roman" w:cs="Times New Roman"/>
          <w:i/>
          <w:color w:val="FF0000"/>
          <w:sz w:val="24"/>
          <w:szCs w:val="24"/>
          <w:lang w:val="es-MX"/>
        </w:rPr>
        <w:t xml:space="preserve"> de precios entre ciudades, así como la evidencia internacional que sugiere que la </w:t>
      </w:r>
      <w:proofErr w:type="spellStart"/>
      <w:r w:rsidRPr="00076F60">
        <w:rPr>
          <w:rFonts w:ascii="Times New Roman" w:hAnsi="Times New Roman" w:cs="Times New Roman"/>
          <w:i/>
          <w:color w:val="FF0000"/>
          <w:sz w:val="24"/>
          <w:szCs w:val="24"/>
          <w:lang w:val="es-MX"/>
        </w:rPr>
        <w:t>almacenabilidad</w:t>
      </w:r>
      <w:proofErr w:type="spellEnd"/>
      <w:r w:rsidRPr="00076F60">
        <w:rPr>
          <w:rFonts w:ascii="Times New Roman" w:hAnsi="Times New Roman" w:cs="Times New Roman"/>
          <w:i/>
          <w:color w:val="FF0000"/>
          <w:sz w:val="24"/>
          <w:szCs w:val="24"/>
          <w:lang w:val="es-MX"/>
        </w:rPr>
        <w:t xml:space="preserve"> de los alimentos básicos facilita el arbitraje espacial de una manera que los alimentos </w:t>
      </w:r>
      <w:proofErr w:type="spellStart"/>
      <w:r w:rsidRPr="00076F60">
        <w:rPr>
          <w:rFonts w:ascii="Times New Roman" w:hAnsi="Times New Roman" w:cs="Times New Roman"/>
          <w:i/>
          <w:color w:val="FF0000"/>
          <w:sz w:val="24"/>
          <w:szCs w:val="24"/>
          <w:lang w:val="es-MX"/>
        </w:rPr>
        <w:t>perecedores</w:t>
      </w:r>
      <w:proofErr w:type="spellEnd"/>
      <w:r w:rsidRPr="00076F60">
        <w:rPr>
          <w:rFonts w:ascii="Times New Roman" w:hAnsi="Times New Roman" w:cs="Times New Roman"/>
          <w:i/>
          <w:color w:val="FF0000"/>
          <w:sz w:val="24"/>
          <w:szCs w:val="24"/>
          <w:lang w:val="es-MX"/>
        </w:rPr>
        <w:t xml:space="preserve"> y nutricionalmente más densos no pueden aplicar (Gilbert &amp; Morgan , 2010). También es cierto que los modelos </w:t>
      </w:r>
      <w:proofErr w:type="spellStart"/>
      <w:r w:rsidRPr="00076F60">
        <w:rPr>
          <w:rFonts w:ascii="Times New Roman" w:hAnsi="Times New Roman" w:cs="Times New Roman"/>
          <w:i/>
          <w:color w:val="FF0000"/>
          <w:sz w:val="24"/>
          <w:szCs w:val="24"/>
          <w:lang w:val="es-MX"/>
        </w:rPr>
        <w:t>CoCA</w:t>
      </w:r>
      <w:proofErr w:type="spellEnd"/>
      <w:r w:rsidRPr="00076F60">
        <w:rPr>
          <w:rFonts w:ascii="Times New Roman" w:hAnsi="Times New Roman" w:cs="Times New Roman"/>
          <w:i/>
          <w:color w:val="FF0000"/>
          <w:sz w:val="24"/>
          <w:szCs w:val="24"/>
          <w:lang w:val="es-MX"/>
        </w:rPr>
        <w:t xml:space="preserve"> y </w:t>
      </w:r>
      <w:proofErr w:type="spellStart"/>
      <w:r w:rsidRPr="00076F60">
        <w:rPr>
          <w:rFonts w:ascii="Times New Roman" w:hAnsi="Times New Roman" w:cs="Times New Roman"/>
          <w:i/>
          <w:color w:val="FF0000"/>
          <w:sz w:val="24"/>
          <w:szCs w:val="24"/>
          <w:lang w:val="es-MX"/>
        </w:rPr>
        <w:t>CoNA</w:t>
      </w:r>
      <w:proofErr w:type="spellEnd"/>
      <w:r w:rsidRPr="00076F60">
        <w:rPr>
          <w:rFonts w:ascii="Times New Roman" w:hAnsi="Times New Roman" w:cs="Times New Roman"/>
          <w:i/>
          <w:color w:val="FF0000"/>
          <w:sz w:val="24"/>
          <w:szCs w:val="24"/>
          <w:lang w:val="es-MX"/>
        </w:rPr>
        <w:t xml:space="preserve"> muestran </w:t>
      </w:r>
      <w:r w:rsidRPr="00076F60">
        <w:rPr>
          <w:rFonts w:ascii="Times New Roman" w:hAnsi="Times New Roman" w:cs="Times New Roman"/>
          <w:i/>
          <w:color w:val="FF0000"/>
          <w:sz w:val="24"/>
          <w:szCs w:val="24"/>
          <w:lang w:val="es-MX"/>
        </w:rPr>
        <w:lastRenderedPageBreak/>
        <w:t>brechas más estables en las ciudades, en la medida en que el modelo de programación lineal sustituye, etc. (Se explica)</w:t>
      </w:r>
      <w:r w:rsidR="00000FAF" w:rsidRPr="00076F60">
        <w:rPr>
          <w:rFonts w:ascii="Times New Roman" w:hAnsi="Times New Roman" w:cs="Times New Roman"/>
          <w:i/>
          <w:color w:val="FF0000"/>
          <w:sz w:val="24"/>
          <w:szCs w:val="24"/>
          <w:lang w:val="es-MX"/>
        </w:rPr>
        <w:t>.</w:t>
      </w:r>
    </w:p>
    <w:p w:rsidR="00436E1F" w:rsidRDefault="00076F60" w:rsidP="00E15974">
      <w:pPr>
        <w:jc w:val="both"/>
        <w:rPr>
          <w:rFonts w:ascii="Times New Roman" w:hAnsi="Times New Roman" w:cs="Times New Roman"/>
          <w:color w:val="000000" w:themeColor="text1"/>
          <w:sz w:val="24"/>
          <w:szCs w:val="24"/>
          <w:lang w:val="es-MX"/>
        </w:rPr>
      </w:pPr>
      <w:r w:rsidRPr="00076F60">
        <w:rPr>
          <w:rFonts w:ascii="Times New Roman" w:hAnsi="Times New Roman" w:cs="Times New Roman"/>
          <w:color w:val="000000" w:themeColor="text1"/>
          <w:sz w:val="24"/>
          <w:szCs w:val="24"/>
          <w:lang w:val="es-MX"/>
        </w:rPr>
        <w:t>Respecto del comportamiento temporal, el choque inflacionario de 2022</w:t>
      </w:r>
      <w:r w:rsidR="00E15974">
        <w:rPr>
          <w:rFonts w:ascii="Times New Roman" w:hAnsi="Times New Roman" w:cs="Times New Roman"/>
          <w:color w:val="000000" w:themeColor="text1"/>
          <w:sz w:val="24"/>
          <w:szCs w:val="24"/>
          <w:lang w:val="es-MX"/>
        </w:rPr>
        <w:t>—</w:t>
      </w:r>
      <w:r w:rsidRPr="00076F60">
        <w:rPr>
          <w:rFonts w:ascii="Times New Roman" w:hAnsi="Times New Roman" w:cs="Times New Roman"/>
          <w:color w:val="000000" w:themeColor="text1"/>
          <w:sz w:val="24"/>
          <w:szCs w:val="24"/>
          <w:lang w:val="es-MX"/>
        </w:rPr>
        <w:t>2023</w:t>
      </w:r>
      <w:r w:rsidR="00E15974">
        <w:rPr>
          <w:rFonts w:ascii="Times New Roman" w:hAnsi="Times New Roman" w:cs="Times New Roman"/>
          <w:color w:val="000000" w:themeColor="text1"/>
          <w:sz w:val="24"/>
          <w:szCs w:val="24"/>
          <w:lang w:val="es-MX"/>
        </w:rPr>
        <w:t>, registrado en estudios anteriores sobre la evolución temporal de las dietas de costo mínimo (CITAR),</w:t>
      </w:r>
      <w:r w:rsidRPr="00076F60">
        <w:rPr>
          <w:rFonts w:ascii="Times New Roman" w:hAnsi="Times New Roman" w:cs="Times New Roman"/>
          <w:color w:val="000000" w:themeColor="text1"/>
          <w:sz w:val="24"/>
          <w:szCs w:val="24"/>
          <w:lang w:val="es-MX"/>
        </w:rPr>
        <w:t xml:space="preserve"> fue ampliamente simétrico en términos nominales, con variaciones interanuales de entre 32% y 39% en los tres modelos de dieta</w:t>
      </w:r>
      <w:r w:rsidR="00436E1F">
        <w:rPr>
          <w:rFonts w:ascii="Times New Roman" w:hAnsi="Times New Roman" w:cs="Times New Roman"/>
          <w:color w:val="000000" w:themeColor="text1"/>
          <w:sz w:val="24"/>
          <w:szCs w:val="24"/>
          <w:lang w:val="es-MX"/>
        </w:rPr>
        <w:t xml:space="preserve">, por encima del IPC general de alimentos y bebidas no alcohólicas que promedió entre 24.6% y 25.7% en 2022 y entre 14.7% y 15.9% en 2023 en las tres ciudades, lo que indica que los costos de las dietas de costo mínimo crecieron por encima del promedio alimentario durante el pico inflacionario (DANE, 2018; véase Apéndice X). </w:t>
      </w:r>
      <w:r w:rsidR="00436E1F" w:rsidRPr="00436E1F">
        <w:rPr>
          <w:rFonts w:ascii="Times New Roman" w:hAnsi="Times New Roman" w:cs="Times New Roman"/>
          <w:color w:val="000000" w:themeColor="text1"/>
          <w:sz w:val="24"/>
          <w:szCs w:val="24"/>
          <w:lang w:val="es-MX"/>
        </w:rPr>
        <w:t xml:space="preserve">En términos reales, sin embargo, el panorama </w:t>
      </w:r>
      <w:proofErr w:type="spellStart"/>
      <w:r w:rsidR="00436E1F" w:rsidRPr="00436E1F">
        <w:rPr>
          <w:rFonts w:ascii="Times New Roman" w:hAnsi="Times New Roman" w:cs="Times New Roman"/>
          <w:color w:val="000000" w:themeColor="text1"/>
          <w:sz w:val="24"/>
          <w:szCs w:val="24"/>
          <w:lang w:val="es-MX"/>
        </w:rPr>
        <w:t>post-inflacionario</w:t>
      </w:r>
      <w:proofErr w:type="spellEnd"/>
      <w:r w:rsidR="00436E1F" w:rsidRPr="00436E1F">
        <w:rPr>
          <w:rFonts w:ascii="Times New Roman" w:hAnsi="Times New Roman" w:cs="Times New Roman"/>
          <w:color w:val="000000" w:themeColor="text1"/>
          <w:sz w:val="24"/>
          <w:szCs w:val="24"/>
          <w:lang w:val="es-MX"/>
        </w:rPr>
        <w:t xml:space="preserve"> muestra asimetrías marcadas entre modelos.</w:t>
      </w:r>
      <w:r w:rsidR="00436E1F">
        <w:rPr>
          <w:rFonts w:ascii="Times New Roman" w:hAnsi="Times New Roman" w:cs="Times New Roman"/>
          <w:color w:val="000000" w:themeColor="text1"/>
          <w:sz w:val="24"/>
          <w:szCs w:val="24"/>
          <w:lang w:val="es-MX"/>
        </w:rPr>
        <w:t xml:space="preserve"> 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real experimentó caídas sostenidas a lo largo del período, llegando a variaciones interanuales de hasta -28,7% en Bogotá en junio de 2024, mientras que las correcciones reales del </w:t>
      </w:r>
      <w:proofErr w:type="spellStart"/>
      <w:r w:rsidR="00436E1F">
        <w:rPr>
          <w:rFonts w:ascii="Times New Roman" w:hAnsi="Times New Roman" w:cs="Times New Roman"/>
          <w:color w:val="000000" w:themeColor="text1"/>
          <w:sz w:val="24"/>
          <w:szCs w:val="24"/>
          <w:lang w:val="es-MX"/>
        </w:rPr>
        <w:t>CoNA</w:t>
      </w:r>
      <w:proofErr w:type="spellEnd"/>
      <w:r w:rsidR="00436E1F">
        <w:rPr>
          <w:rFonts w:ascii="Times New Roman" w:hAnsi="Times New Roman" w:cs="Times New Roman"/>
          <w:color w:val="000000" w:themeColor="text1"/>
          <w:sz w:val="24"/>
          <w:szCs w:val="24"/>
          <w:lang w:val="es-MX"/>
        </w:rPr>
        <w:t xml:space="preserve"> y el </w:t>
      </w:r>
      <w:proofErr w:type="spellStart"/>
      <w:r w:rsidR="00436E1F">
        <w:rPr>
          <w:rFonts w:ascii="Times New Roman" w:hAnsi="Times New Roman" w:cs="Times New Roman"/>
          <w:color w:val="000000" w:themeColor="text1"/>
          <w:sz w:val="24"/>
          <w:szCs w:val="24"/>
          <w:lang w:val="es-MX"/>
        </w:rPr>
        <w:t>CoRD</w:t>
      </w:r>
      <w:proofErr w:type="spellEnd"/>
      <w:r w:rsidR="00436E1F">
        <w:rPr>
          <w:rFonts w:ascii="Times New Roman" w:hAnsi="Times New Roman" w:cs="Times New Roman"/>
          <w:color w:val="000000" w:themeColor="text1"/>
          <w:sz w:val="24"/>
          <w:szCs w:val="24"/>
          <w:lang w:val="es-MX"/>
        </w:rPr>
        <w:t xml:space="preserve"> se mantuvieron considerablemente más acotadas (entre -4.1% y -7.9%). </w:t>
      </w:r>
      <w:r w:rsidR="0003676F" w:rsidRPr="0003676F">
        <w:rPr>
          <w:rFonts w:ascii="Times New Roman" w:hAnsi="Times New Roman" w:cs="Times New Roman"/>
          <w:color w:val="000000" w:themeColor="text1"/>
          <w:sz w:val="24"/>
          <w:szCs w:val="24"/>
          <w:lang w:val="es-MX"/>
        </w:rPr>
        <w:t>Un patrón análogo es documentado por Bai et al. (2026) para China, donde los costos reales de las dietas recomendadas crecieron más lentamente que el IPC de alimentos en la mayoría de las provincias, revelando que los alimentos de bajo costo que satisfacen los requerimientos dietarios tuvieron una inflación menor que el promedio alimentario habitual [Pendiente referencia: evidencia adicional de otros contextos sobre desacople entre precios de feculentos y alimentos nutricionalmente densos durante episodios de desinflación]</w:t>
      </w:r>
      <w:r w:rsidR="0003676F">
        <w:rPr>
          <w:rFonts w:ascii="Times New Roman" w:hAnsi="Times New Roman" w:cs="Times New Roman"/>
          <w:color w:val="000000" w:themeColor="text1"/>
          <w:sz w:val="24"/>
          <w:szCs w:val="24"/>
          <w:lang w:val="es-MX"/>
        </w:rPr>
        <w:t xml:space="preserve">. </w:t>
      </w:r>
      <w:r w:rsidR="00436E1F">
        <w:rPr>
          <w:rFonts w:ascii="Times New Roman" w:hAnsi="Times New Roman" w:cs="Times New Roman"/>
          <w:color w:val="000000" w:themeColor="text1"/>
          <w:sz w:val="24"/>
          <w:szCs w:val="24"/>
          <w:lang w:val="es-MX"/>
        </w:rPr>
        <w:t xml:space="preserve">En línea con la solución del modelo PL de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como muestran estudios anteriores (</w:t>
      </w:r>
      <w:proofErr w:type="spellStart"/>
      <w:r w:rsidR="00436E1F">
        <w:rPr>
          <w:rFonts w:ascii="Times New Roman" w:hAnsi="Times New Roman" w:cs="Times New Roman"/>
          <w:color w:val="000000" w:themeColor="text1"/>
          <w:sz w:val="24"/>
          <w:szCs w:val="24"/>
          <w:lang w:val="es-MX"/>
        </w:rPr>
        <w:t>Mahrt</w:t>
      </w:r>
      <w:proofErr w:type="spellEnd"/>
      <w:r w:rsidR="00436E1F">
        <w:rPr>
          <w:rFonts w:ascii="Times New Roman" w:hAnsi="Times New Roman" w:cs="Times New Roman"/>
          <w:color w:val="000000" w:themeColor="text1"/>
          <w:sz w:val="24"/>
          <w:szCs w:val="24"/>
          <w:lang w:val="es-MX"/>
        </w:rPr>
        <w:t xml:space="preserve"> et al., 2019), 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está determinado por el alimento cuyo precio por kilocaloría es mínimo en cada mercado; en el caso de las tres ciudades colombianos, esos alimentos, con variaciones en el tiempo, fueron arroz para seco, harina de trigo y harina precocida. La disminución del </w:t>
      </w:r>
      <w:proofErr w:type="spellStart"/>
      <w:r w:rsidR="00436E1F">
        <w:rPr>
          <w:rFonts w:ascii="Times New Roman" w:hAnsi="Times New Roman" w:cs="Times New Roman"/>
          <w:color w:val="000000" w:themeColor="text1"/>
          <w:sz w:val="24"/>
          <w:szCs w:val="24"/>
          <w:lang w:val="es-MX"/>
        </w:rPr>
        <w:t>CoCA</w:t>
      </w:r>
      <w:proofErr w:type="spellEnd"/>
      <w:r w:rsidR="00436E1F">
        <w:rPr>
          <w:rFonts w:ascii="Times New Roman" w:hAnsi="Times New Roman" w:cs="Times New Roman"/>
          <w:color w:val="000000" w:themeColor="text1"/>
          <w:sz w:val="24"/>
          <w:szCs w:val="24"/>
          <w:lang w:val="es-MX"/>
        </w:rPr>
        <w:t xml:space="preserve"> real se explica por el abaratamiento </w:t>
      </w:r>
      <w:proofErr w:type="spellStart"/>
      <w:r w:rsidR="00436E1F">
        <w:rPr>
          <w:rFonts w:ascii="Times New Roman" w:hAnsi="Times New Roman" w:cs="Times New Roman"/>
          <w:color w:val="000000" w:themeColor="text1"/>
          <w:sz w:val="24"/>
          <w:szCs w:val="24"/>
          <w:lang w:val="es-MX"/>
        </w:rPr>
        <w:t>post-inflacionario</w:t>
      </w:r>
      <w:proofErr w:type="spellEnd"/>
      <w:r w:rsidR="00436E1F">
        <w:rPr>
          <w:rFonts w:ascii="Times New Roman" w:hAnsi="Times New Roman" w:cs="Times New Roman"/>
          <w:color w:val="000000" w:themeColor="text1"/>
          <w:sz w:val="24"/>
          <w:szCs w:val="24"/>
          <w:lang w:val="es-MX"/>
        </w:rPr>
        <w:t xml:space="preserve"> de estos alimentos: en 2024, las subclases de arroz y harinas</w:t>
      </w:r>
      <w:r w:rsidR="0003676F">
        <w:rPr>
          <w:rFonts w:ascii="Times New Roman" w:hAnsi="Times New Roman" w:cs="Times New Roman"/>
          <w:color w:val="000000" w:themeColor="text1"/>
          <w:sz w:val="24"/>
          <w:szCs w:val="24"/>
          <w:lang w:val="es-MX"/>
        </w:rPr>
        <w:t xml:space="preserve">, como muestra el apéndice X, promediaron variaciones nominales interanuales de apenas 0.1% - 0.3% y de entre -0.1% y -0.9% respectivamente en las tres ciudades, frente a un IPC general de la división de alimentos y bebidas no alcohólicas de 2.7% - 3.2% en el mismo año, es decir, estos alimentos se abarataron en términos </w:t>
      </w:r>
      <w:proofErr w:type="spellStart"/>
      <w:r w:rsidR="0003676F">
        <w:rPr>
          <w:rFonts w:ascii="Times New Roman" w:hAnsi="Times New Roman" w:cs="Times New Roman"/>
          <w:color w:val="000000" w:themeColor="text1"/>
          <w:sz w:val="24"/>
          <w:szCs w:val="24"/>
          <w:lang w:val="es-MX"/>
        </w:rPr>
        <w:t>relatitovos</w:t>
      </w:r>
      <w:proofErr w:type="spellEnd"/>
      <w:r w:rsidR="0003676F">
        <w:rPr>
          <w:rFonts w:ascii="Times New Roman" w:hAnsi="Times New Roman" w:cs="Times New Roman"/>
          <w:color w:val="000000" w:themeColor="text1"/>
          <w:sz w:val="24"/>
          <w:szCs w:val="24"/>
          <w:lang w:val="es-MX"/>
        </w:rPr>
        <w:t xml:space="preserve"> (explicar más claramente esto).  </w:t>
      </w:r>
      <w:r w:rsidR="0003676F" w:rsidRPr="0003676F">
        <w:rPr>
          <w:rFonts w:ascii="Times New Roman" w:hAnsi="Times New Roman" w:cs="Times New Roman"/>
          <w:color w:val="000000" w:themeColor="text1"/>
          <w:sz w:val="24"/>
          <w:szCs w:val="24"/>
          <w:lang w:val="es-MX"/>
        </w:rPr>
        <w:t xml:space="preserve">Este resultado implica que la desinflación </w:t>
      </w:r>
      <w:proofErr w:type="spellStart"/>
      <w:r w:rsidR="0003676F" w:rsidRPr="0003676F">
        <w:rPr>
          <w:rFonts w:ascii="Times New Roman" w:hAnsi="Times New Roman" w:cs="Times New Roman"/>
          <w:color w:val="000000" w:themeColor="text1"/>
          <w:sz w:val="24"/>
          <w:szCs w:val="24"/>
          <w:lang w:val="es-MX"/>
        </w:rPr>
        <w:t>post-inflacionaria</w:t>
      </w:r>
      <w:proofErr w:type="spellEnd"/>
      <w:r w:rsidR="0003676F" w:rsidRPr="0003676F">
        <w:rPr>
          <w:rFonts w:ascii="Times New Roman" w:hAnsi="Times New Roman" w:cs="Times New Roman"/>
          <w:color w:val="000000" w:themeColor="text1"/>
          <w:sz w:val="24"/>
          <w:szCs w:val="24"/>
          <w:lang w:val="es-MX"/>
        </w:rPr>
        <w:t xml:space="preserve"> puede simultáneamente abaratar el acceso calórico básico en términos relativos sin aliviar proporcionalmente el costo de la adecuación nutricional</w:t>
      </w:r>
      <w:r w:rsidR="0003676F">
        <w:rPr>
          <w:rFonts w:ascii="Times New Roman" w:hAnsi="Times New Roman" w:cs="Times New Roman"/>
          <w:color w:val="000000" w:themeColor="text1"/>
          <w:sz w:val="24"/>
          <w:szCs w:val="24"/>
          <w:lang w:val="es-MX"/>
        </w:rPr>
        <w:t xml:space="preserve">, </w:t>
      </w:r>
      <w:r w:rsidR="0003676F" w:rsidRPr="0003676F">
        <w:rPr>
          <w:rFonts w:ascii="Times New Roman" w:hAnsi="Times New Roman" w:cs="Times New Roman"/>
          <w:color w:val="000000" w:themeColor="text1"/>
          <w:sz w:val="24"/>
          <w:szCs w:val="24"/>
          <w:lang w:val="es-MX"/>
        </w:rPr>
        <w:t xml:space="preserve">una asimetría con consecuencias distributivas relevantes para los hogares de menores ingresos que dependen de dietas basadas en feculentos. </w:t>
      </w:r>
    </w:p>
    <w:p w:rsidR="00436E1F" w:rsidRDefault="00436E1F" w:rsidP="00E15974">
      <w:pPr>
        <w:jc w:val="both"/>
        <w:rPr>
          <w:rFonts w:ascii="Times New Roman" w:hAnsi="Times New Roman" w:cs="Times New Roman"/>
          <w:color w:val="000000" w:themeColor="text1"/>
          <w:sz w:val="24"/>
          <w:szCs w:val="24"/>
          <w:lang w:val="es-MX"/>
        </w:rPr>
      </w:pPr>
    </w:p>
    <w:p w:rsidR="009D6DAB" w:rsidRPr="0003676F" w:rsidRDefault="00076F60" w:rsidP="00E15974">
      <w:pPr>
        <w:jc w:val="both"/>
        <w:rPr>
          <w:rFonts w:ascii="Times New Roman" w:hAnsi="Times New Roman" w:cs="Times New Roman"/>
          <w:i/>
          <w:color w:val="FF0000"/>
          <w:sz w:val="24"/>
          <w:szCs w:val="24"/>
          <w:lang w:val="es-MX"/>
        </w:rPr>
      </w:pPr>
      <w:r w:rsidRPr="0003676F">
        <w:rPr>
          <w:rFonts w:ascii="Times New Roman" w:hAnsi="Times New Roman" w:cs="Times New Roman"/>
          <w:i/>
          <w:color w:val="FF0000"/>
          <w:sz w:val="24"/>
          <w:szCs w:val="24"/>
          <w:lang w:val="es-MX"/>
        </w:rPr>
        <w:t xml:space="preserve">En términos reales, deflactando con el IPC de alimentos y bebidas no alcohólicas a nivel de ciudad, el panorama </w:t>
      </w:r>
      <w:proofErr w:type="spellStart"/>
      <w:r w:rsidRPr="0003676F">
        <w:rPr>
          <w:rFonts w:ascii="Times New Roman" w:hAnsi="Times New Roman" w:cs="Times New Roman"/>
          <w:i/>
          <w:color w:val="FF0000"/>
          <w:sz w:val="24"/>
          <w:szCs w:val="24"/>
          <w:lang w:val="es-MX"/>
        </w:rPr>
        <w:t>post-inflacionario</w:t>
      </w:r>
      <w:proofErr w:type="spellEnd"/>
      <w:r w:rsidRPr="0003676F">
        <w:rPr>
          <w:rFonts w:ascii="Times New Roman" w:hAnsi="Times New Roman" w:cs="Times New Roman"/>
          <w:i/>
          <w:color w:val="FF0000"/>
          <w:sz w:val="24"/>
          <w:szCs w:val="24"/>
          <w:lang w:val="es-MX"/>
        </w:rPr>
        <w:t xml:space="preserve"> muestra asimetrías marcadas entre modelos. 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real experimentó caídas sostenidas a lo largo del período, llegando a una variación interanual de hasta --28,7% en Bogotá en junio de 2024, mientras que las correcciones reales del </w:t>
      </w:r>
      <w:proofErr w:type="spellStart"/>
      <w:r w:rsidRPr="0003676F">
        <w:rPr>
          <w:rFonts w:ascii="Times New Roman" w:hAnsi="Times New Roman" w:cs="Times New Roman"/>
          <w:i/>
          <w:color w:val="FF0000"/>
          <w:sz w:val="24"/>
          <w:szCs w:val="24"/>
          <w:lang w:val="es-MX"/>
        </w:rPr>
        <w:t>CoNA</w:t>
      </w:r>
      <w:proofErr w:type="spellEnd"/>
      <w:r w:rsidRPr="0003676F">
        <w:rPr>
          <w:rFonts w:ascii="Times New Roman" w:hAnsi="Times New Roman" w:cs="Times New Roman"/>
          <w:i/>
          <w:color w:val="FF0000"/>
          <w:sz w:val="24"/>
          <w:szCs w:val="24"/>
          <w:lang w:val="es-MX"/>
        </w:rPr>
        <w:t xml:space="preserve"> y el </w:t>
      </w:r>
      <w:proofErr w:type="spellStart"/>
      <w:r w:rsidRPr="0003676F">
        <w:rPr>
          <w:rFonts w:ascii="Times New Roman" w:hAnsi="Times New Roman" w:cs="Times New Roman"/>
          <w:i/>
          <w:color w:val="FF0000"/>
          <w:sz w:val="24"/>
          <w:szCs w:val="24"/>
          <w:lang w:val="es-MX"/>
        </w:rPr>
        <w:t>CoRD</w:t>
      </w:r>
      <w:proofErr w:type="spellEnd"/>
      <w:r w:rsidRPr="0003676F">
        <w:rPr>
          <w:rFonts w:ascii="Times New Roman" w:hAnsi="Times New Roman" w:cs="Times New Roman"/>
          <w:i/>
          <w:color w:val="FF0000"/>
          <w:sz w:val="24"/>
          <w:szCs w:val="24"/>
          <w:lang w:val="es-MX"/>
        </w:rPr>
        <w:t xml:space="preserve"> se mantuvieron considerablemente más acotadas (entre --4,1% y --7,9%). En línea con la solución analítica del modelo de programación lineal de una sola restricción de energía [Pendiente referencia: </w:t>
      </w:r>
      <w:proofErr w:type="spellStart"/>
      <w:r w:rsidRPr="0003676F">
        <w:rPr>
          <w:rFonts w:ascii="Times New Roman" w:hAnsi="Times New Roman" w:cs="Times New Roman"/>
          <w:i/>
          <w:color w:val="FF0000"/>
          <w:sz w:val="24"/>
          <w:szCs w:val="24"/>
          <w:lang w:val="es-MX"/>
        </w:rPr>
        <w:t>Mahr</w:t>
      </w:r>
      <w:proofErr w:type="spellEnd"/>
      <w:r w:rsidRPr="0003676F">
        <w:rPr>
          <w:rFonts w:ascii="Times New Roman" w:hAnsi="Times New Roman" w:cs="Times New Roman"/>
          <w:i/>
          <w:color w:val="FF0000"/>
          <w:sz w:val="24"/>
          <w:szCs w:val="24"/>
          <w:lang w:val="es-MX"/>
        </w:rPr>
        <w:t xml:space="preserve"> et al., 2019, verificar si está en el documento del </w:t>
      </w:r>
      <w:proofErr w:type="spellStart"/>
      <w:r w:rsidRPr="0003676F">
        <w:rPr>
          <w:rFonts w:ascii="Times New Roman" w:hAnsi="Times New Roman" w:cs="Times New Roman"/>
          <w:i/>
          <w:color w:val="FF0000"/>
          <w:sz w:val="24"/>
          <w:szCs w:val="24"/>
          <w:lang w:val="es-MX"/>
        </w:rPr>
        <w:t>co-autor</w:t>
      </w:r>
      <w:proofErr w:type="spellEnd"/>
      <w:r w:rsidRPr="0003676F">
        <w:rPr>
          <w:rFonts w:ascii="Times New Roman" w:hAnsi="Times New Roman" w:cs="Times New Roman"/>
          <w:i/>
          <w:color w:val="FF0000"/>
          <w:sz w:val="24"/>
          <w:szCs w:val="24"/>
          <w:lang w:val="es-MX"/>
        </w:rPr>
        <w:t xml:space="preserve">; añadir referencias adicionales sobre la solución de esquina del </w:t>
      </w:r>
      <w:proofErr w:type="spellStart"/>
      <w:r w:rsidRPr="0003676F">
        <w:rPr>
          <w:rFonts w:ascii="Times New Roman" w:hAnsi="Times New Roman" w:cs="Times New Roman"/>
          <w:i/>
          <w:color w:val="FF0000"/>
          <w:sz w:val="24"/>
          <w:szCs w:val="24"/>
          <w:lang w:val="es-MX"/>
        </w:rPr>
        <w:lastRenderedPageBreak/>
        <w:t>CoCA</w:t>
      </w:r>
      <w:proofErr w:type="spellEnd"/>
      <w:r w:rsidRPr="0003676F">
        <w:rPr>
          <w:rFonts w:ascii="Times New Roman" w:hAnsi="Times New Roman" w:cs="Times New Roman"/>
          <w:i/>
          <w:color w:val="FF0000"/>
          <w:sz w:val="24"/>
          <w:szCs w:val="24"/>
          <w:lang w:val="es-MX"/>
        </w:rPr>
        <w:t xml:space="preserve">], 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queda determinado por el alimento cuyo precio por kilocaloría es mínimo en cada mercado; en el caso de las tres ciudades colombianas durante el período analizado, </w:t>
      </w:r>
      <w:r w:rsidRPr="0003676F">
        <w:rPr>
          <w:rFonts w:ascii="Times New Roman" w:hAnsi="Times New Roman" w:cs="Times New Roman"/>
          <w:i/>
          <w:color w:val="FF0000"/>
          <w:sz w:val="24"/>
          <w:szCs w:val="24"/>
          <w:highlight w:val="yellow"/>
          <w:lang w:val="es-MX"/>
        </w:rPr>
        <w:t>esos alimentos fueron</w:t>
      </w:r>
      <w:r w:rsidR="00E15974" w:rsidRPr="0003676F">
        <w:rPr>
          <w:rFonts w:ascii="Times New Roman" w:hAnsi="Times New Roman" w:cs="Times New Roman"/>
          <w:i/>
          <w:color w:val="FF0000"/>
          <w:sz w:val="24"/>
          <w:szCs w:val="24"/>
          <w:highlight w:val="yellow"/>
          <w:lang w:val="es-MX"/>
        </w:rPr>
        <w:t>: Arroz para seco, Harina de trigo y Harina precocida</w:t>
      </w:r>
      <w:r w:rsidRPr="0003676F">
        <w:rPr>
          <w:rFonts w:ascii="Times New Roman" w:hAnsi="Times New Roman" w:cs="Times New Roman"/>
          <w:i/>
          <w:color w:val="FF0000"/>
          <w:sz w:val="24"/>
          <w:szCs w:val="24"/>
          <w:highlight w:val="yellow"/>
          <w:lang w:val="es-MX"/>
        </w:rPr>
        <w:t>.</w:t>
      </w:r>
      <w:r w:rsidRPr="0003676F">
        <w:rPr>
          <w:rFonts w:ascii="Times New Roman" w:hAnsi="Times New Roman" w:cs="Times New Roman"/>
          <w:i/>
          <w:color w:val="FF0000"/>
          <w:sz w:val="24"/>
          <w:szCs w:val="24"/>
          <w:lang w:val="es-MX"/>
        </w:rPr>
        <w:t xml:space="preserve"> La disminución del </w:t>
      </w:r>
      <w:proofErr w:type="spellStart"/>
      <w:r w:rsidRPr="0003676F">
        <w:rPr>
          <w:rFonts w:ascii="Times New Roman" w:hAnsi="Times New Roman" w:cs="Times New Roman"/>
          <w:i/>
          <w:color w:val="FF0000"/>
          <w:sz w:val="24"/>
          <w:szCs w:val="24"/>
          <w:lang w:val="es-MX"/>
        </w:rPr>
        <w:t>CoCA</w:t>
      </w:r>
      <w:proofErr w:type="spellEnd"/>
      <w:r w:rsidRPr="0003676F">
        <w:rPr>
          <w:rFonts w:ascii="Times New Roman" w:hAnsi="Times New Roman" w:cs="Times New Roman"/>
          <w:i/>
          <w:color w:val="FF0000"/>
          <w:sz w:val="24"/>
          <w:szCs w:val="24"/>
          <w:lang w:val="es-MX"/>
        </w:rPr>
        <w:t xml:space="preserve"> real se explica entonces por el abaratamiento real </w:t>
      </w:r>
      <w:proofErr w:type="spellStart"/>
      <w:r w:rsidRPr="0003676F">
        <w:rPr>
          <w:rFonts w:ascii="Times New Roman" w:hAnsi="Times New Roman" w:cs="Times New Roman"/>
          <w:i/>
          <w:color w:val="FF0000"/>
          <w:sz w:val="24"/>
          <w:szCs w:val="24"/>
          <w:lang w:val="es-MX"/>
        </w:rPr>
        <w:t>post-inflacionario</w:t>
      </w:r>
      <w:proofErr w:type="spellEnd"/>
      <w:r w:rsidRPr="0003676F">
        <w:rPr>
          <w:rFonts w:ascii="Times New Roman" w:hAnsi="Times New Roman" w:cs="Times New Roman"/>
          <w:i/>
          <w:color w:val="FF0000"/>
          <w:sz w:val="24"/>
          <w:szCs w:val="24"/>
          <w:lang w:val="es-MX"/>
        </w:rPr>
        <w:t xml:space="preserve"> de estos alimentos, pertenecientes al grupo de cereales, raíces y tubérculos, que fue proporcionalmente mayor que el abaratamiento del IPC de alimentos y bebidas no alcohólicas en general, ampliando mecánicamente la distancia entre el costo de la suficiencia calórica y el de la adecuación nutricional. </w:t>
      </w:r>
      <w:r w:rsidR="00E15974" w:rsidRPr="0003676F">
        <w:rPr>
          <w:rFonts w:ascii="Times New Roman" w:hAnsi="Times New Roman" w:cs="Times New Roman"/>
          <w:i/>
          <w:color w:val="FF0000"/>
          <w:sz w:val="24"/>
          <w:szCs w:val="24"/>
          <w:lang w:val="es-MX"/>
        </w:rPr>
        <w:t xml:space="preserve">Específicamente, </w:t>
      </w:r>
      <w:r w:rsidR="00E15974" w:rsidRPr="0003676F">
        <w:rPr>
          <w:rFonts w:ascii="Times New Roman" w:hAnsi="Times New Roman" w:cs="Times New Roman"/>
          <w:i/>
          <w:color w:val="FF0000"/>
          <w:sz w:val="24"/>
          <w:szCs w:val="24"/>
          <w:highlight w:val="yellow"/>
          <w:lang w:val="es-MX"/>
        </w:rPr>
        <w:t>[Añadir el valor]</w:t>
      </w:r>
      <w:r w:rsidR="00E15974" w:rsidRPr="0003676F">
        <w:rPr>
          <w:rFonts w:ascii="Times New Roman" w:hAnsi="Times New Roman" w:cs="Times New Roman"/>
          <w:i/>
          <w:color w:val="FF0000"/>
          <w:sz w:val="24"/>
          <w:szCs w:val="24"/>
          <w:lang w:val="es-MX"/>
        </w:rPr>
        <w:t xml:space="preserve">. </w:t>
      </w:r>
      <w:r w:rsidRPr="0003676F">
        <w:rPr>
          <w:rFonts w:ascii="Times New Roman" w:hAnsi="Times New Roman" w:cs="Times New Roman"/>
          <w:i/>
          <w:color w:val="FF0000"/>
          <w:sz w:val="24"/>
          <w:szCs w:val="24"/>
          <w:lang w:val="es-MX"/>
        </w:rPr>
        <w:t xml:space="preserve">Este hallazgo implica que la desinflación </w:t>
      </w:r>
      <w:proofErr w:type="spellStart"/>
      <w:r w:rsidRPr="0003676F">
        <w:rPr>
          <w:rFonts w:ascii="Times New Roman" w:hAnsi="Times New Roman" w:cs="Times New Roman"/>
          <w:i/>
          <w:color w:val="FF0000"/>
          <w:sz w:val="24"/>
          <w:szCs w:val="24"/>
          <w:lang w:val="es-MX"/>
        </w:rPr>
        <w:t>post-inflacionaria</w:t>
      </w:r>
      <w:proofErr w:type="spellEnd"/>
      <w:r w:rsidRPr="0003676F">
        <w:rPr>
          <w:rFonts w:ascii="Times New Roman" w:hAnsi="Times New Roman" w:cs="Times New Roman"/>
          <w:i/>
          <w:color w:val="FF0000"/>
          <w:sz w:val="24"/>
          <w:szCs w:val="24"/>
          <w:lang w:val="es-MX"/>
        </w:rPr>
        <w:t xml:space="preserve"> puede simultáneamente abaratar, en términos relativos, el acceso calórico básico sin aliviar proporcionalmente el costo de la adecuación nutricional — una asimetría con consecuencias distributivas relevantes para los hogares de menores ingresos que dependen de dietas basadas en feculentos.</w:t>
      </w:r>
      <w:r w:rsidR="00E15974" w:rsidRPr="0003676F">
        <w:rPr>
          <w:rFonts w:ascii="Times New Roman" w:hAnsi="Times New Roman" w:cs="Times New Roman"/>
          <w:i/>
          <w:color w:val="FF0000"/>
          <w:sz w:val="24"/>
          <w:szCs w:val="24"/>
          <w:lang w:val="es-MX"/>
        </w:rPr>
        <w:t xml:space="preserve"> </w:t>
      </w:r>
      <w:r w:rsidR="00E15974" w:rsidRPr="0003676F">
        <w:rPr>
          <w:rFonts w:ascii="Times New Roman" w:hAnsi="Times New Roman" w:cs="Times New Roman"/>
          <w:b/>
          <w:i/>
          <w:color w:val="FF0000"/>
          <w:sz w:val="24"/>
          <w:szCs w:val="24"/>
          <w:lang w:val="es-MX"/>
        </w:rPr>
        <w:t>ESTA PARTE DE BAI ESTÁ MUY EXTENSA Y HAY QUE MEJORAR COHESIÓN:</w:t>
      </w:r>
      <w:r w:rsidRPr="0003676F">
        <w:rPr>
          <w:rFonts w:ascii="Times New Roman" w:hAnsi="Times New Roman" w:cs="Times New Roman"/>
          <w:i/>
          <w:color w:val="FF0000"/>
          <w:sz w:val="24"/>
          <w:szCs w:val="24"/>
          <w:lang w:val="es-MX"/>
        </w:rPr>
        <w:t xml:space="preserve"> En una línea similar, Bai et al. (2026), en un análisis del costo y la asequibilidad de dietas saludables en China usando cuatro marcos dietarios de referencia, encuentran que, si bien los costos nominales de las dietas saludables mostraron una tendencia creciente durante el período evaluado, los costos reales aumentaron solo moderadamente, y que los costos de cumplir las dietas recomendadas crecieron en general a un ritmo más lento que el IPC de alimentos en la mayoría de las provincias, particularmente en años recientes, lo que revela que los alimentos de bajo costo que satisfacen los requerimientos de las dietas de referencia tuvieron una inflación menor que el promedio de los alimentos consumidos habitualmente (Bai et al., 2026). Aunque el contexto institucional difiere — los autores atribuyen parte de esta estabilización a la práctica del gobierno chino de almacenamiento estratégico de alimentos básicos —, el mecanismo subyacente es análogo al observado en Colombia: los alimentos que anclan el costo mínimo de las dietas de referencia pueden desacoplarse del IPC alimentario general durante episodios de desinflación, generando divergencias reales entre modelos de dieta que no son visibles en el análisis nominal. [Pendiente referencia: buscar evidencia adicional de otros contextos sobre el desacople entre precios de alimentos básicos y precios de alimentos nutricionalmente densos durante episodios de desinflación, para reforzar la generalidad del mecanismo.]</w:t>
      </w:r>
    </w:p>
    <w:p w:rsidR="00AD7C92" w:rsidRPr="006A7888" w:rsidRDefault="006A7888" w:rsidP="006A7888">
      <w:pPr>
        <w:pStyle w:val="Prrafodelista"/>
        <w:numPr>
          <w:ilvl w:val="0"/>
          <w:numId w:val="3"/>
        </w:numPr>
        <w:rPr>
          <w:rFonts w:ascii="Times New Roman" w:hAnsi="Times New Roman" w:cs="Times New Roman"/>
          <w:b/>
          <w:sz w:val="24"/>
          <w:szCs w:val="24"/>
        </w:rPr>
      </w:pPr>
      <w:r w:rsidRPr="006A7888">
        <w:rPr>
          <w:rFonts w:ascii="Times New Roman" w:hAnsi="Times New Roman" w:cs="Times New Roman"/>
          <w:b/>
          <w:sz w:val="24"/>
          <w:szCs w:val="24"/>
        </w:rPr>
        <w:t>A</w:t>
      </w:r>
      <w:r w:rsidR="00AD7C92" w:rsidRPr="006A7888">
        <w:rPr>
          <w:rFonts w:ascii="Times New Roman" w:hAnsi="Times New Roman" w:cs="Times New Roman"/>
          <w:b/>
          <w:sz w:val="24"/>
          <w:szCs w:val="24"/>
        </w:rPr>
        <w:t>limentos críticos</w:t>
      </w:r>
      <w:r w:rsidR="00807E23" w:rsidRPr="006A7888">
        <w:rPr>
          <w:rFonts w:ascii="Times New Roman" w:hAnsi="Times New Roman" w:cs="Times New Roman"/>
          <w:b/>
          <w:sz w:val="24"/>
          <w:szCs w:val="24"/>
        </w:rPr>
        <w:t xml:space="preserve"> y composición</w:t>
      </w:r>
    </w:p>
    <w:p w:rsidR="00CB55E0" w:rsidRDefault="008A4CC2" w:rsidP="00CB55E0">
      <w:pPr>
        <w:jc w:val="both"/>
        <w:rPr>
          <w:rFonts w:ascii="Times New Roman" w:hAnsi="Times New Roman" w:cs="Times New Roman"/>
          <w:sz w:val="24"/>
          <w:szCs w:val="24"/>
        </w:rPr>
      </w:pPr>
      <w:r w:rsidRPr="008A4CC2">
        <w:rPr>
          <w:rFonts w:ascii="Times New Roman" w:hAnsi="Times New Roman" w:cs="Times New Roman"/>
          <w:sz w:val="24"/>
          <w:szCs w:val="24"/>
        </w:rPr>
        <w:t xml:space="preserve">Tres nutrientes resultaron vinculantes en el 100% de los meses en las tres ciudades --- calcio, sodio y vitamina C ---, un patrón consistente con estudios previos para contextos similares [AÑADIR CITAS: estudios que identifiquen estos mismos nutrientes como limitantes en dietas de costo mínimo en LAC o países de ingreso medio; </w:t>
      </w:r>
      <w:proofErr w:type="spellStart"/>
      <w:r w:rsidRPr="008A4CC2">
        <w:rPr>
          <w:rFonts w:ascii="Times New Roman" w:hAnsi="Times New Roman" w:cs="Times New Roman"/>
          <w:sz w:val="24"/>
          <w:szCs w:val="24"/>
        </w:rPr>
        <w:t>Yoshioka</w:t>
      </w:r>
      <w:proofErr w:type="spellEnd"/>
      <w:r w:rsidRPr="008A4CC2">
        <w:rPr>
          <w:rFonts w:ascii="Times New Roman" w:hAnsi="Times New Roman" w:cs="Times New Roman"/>
          <w:sz w:val="24"/>
          <w:szCs w:val="24"/>
        </w:rPr>
        <w:t>-Vargas et al. (2025) ya identificó calcio y vitamina C para Cali]</w:t>
      </w:r>
      <w:r>
        <w:rPr>
          <w:rFonts w:ascii="Times New Roman" w:hAnsi="Times New Roman" w:cs="Times New Roman"/>
          <w:sz w:val="24"/>
          <w:szCs w:val="24"/>
        </w:rPr>
        <w:t xml:space="preserve">. </w:t>
      </w:r>
      <w:r w:rsidR="00CB55E0" w:rsidRPr="00CB55E0">
        <w:rPr>
          <w:rFonts w:ascii="Times New Roman" w:hAnsi="Times New Roman" w:cs="Times New Roman"/>
          <w:sz w:val="24"/>
          <w:szCs w:val="24"/>
        </w:rPr>
        <w:t xml:space="preserve">Al analizar la dieta </w:t>
      </w:r>
      <w:proofErr w:type="spellStart"/>
      <w:r w:rsidR="00CB55E0" w:rsidRPr="00CB55E0">
        <w:rPr>
          <w:rFonts w:ascii="Times New Roman" w:hAnsi="Times New Roman" w:cs="Times New Roman"/>
          <w:sz w:val="24"/>
          <w:szCs w:val="24"/>
        </w:rPr>
        <w:t>CoNA</w:t>
      </w:r>
      <w:proofErr w:type="spellEnd"/>
      <w:r w:rsidR="00CB55E0" w:rsidRPr="00CB55E0">
        <w:rPr>
          <w:rFonts w:ascii="Times New Roman" w:hAnsi="Times New Roman" w:cs="Times New Roman"/>
          <w:sz w:val="24"/>
          <w:szCs w:val="24"/>
        </w:rPr>
        <w:t>, identificamos que el calcio es la restricción estructuralmente más costosa del sistema --- un resultado consistente con evidencia internacional que documenta que países donde los productos lácteos son relativamente caros enfrentan SPE de calcio sistemáticamente altos (Bai et al., 2022b), con evidencia regional que confirma que el calcio fue el nutriente más costoso de satisfacer en todos los estratos de ingreso analizados en Brasil (</w:t>
      </w:r>
      <w:proofErr w:type="spellStart"/>
      <w:r w:rsidR="00CB55E0" w:rsidRPr="00CB55E0">
        <w:rPr>
          <w:rFonts w:ascii="Times New Roman" w:hAnsi="Times New Roman" w:cs="Times New Roman"/>
          <w:sz w:val="24"/>
          <w:szCs w:val="24"/>
        </w:rPr>
        <w:t>Verly</w:t>
      </w:r>
      <w:proofErr w:type="spellEnd"/>
      <w:r w:rsidR="00CB55E0" w:rsidRPr="00CB55E0">
        <w:rPr>
          <w:rFonts w:ascii="Times New Roman" w:hAnsi="Times New Roman" w:cs="Times New Roman"/>
          <w:sz w:val="24"/>
          <w:szCs w:val="24"/>
        </w:rPr>
        <w:t xml:space="preserve"> et al., 2020, 2021), y con el estudio </w:t>
      </w:r>
      <w:r w:rsidR="00CB55E0" w:rsidRPr="00CB55E0">
        <w:rPr>
          <w:rFonts w:ascii="Times New Roman" w:hAnsi="Times New Roman" w:cs="Times New Roman"/>
          <w:sz w:val="24"/>
          <w:szCs w:val="24"/>
        </w:rPr>
        <w:lastRenderedPageBreak/>
        <w:t xml:space="preserve">previo para Cali de </w:t>
      </w:r>
      <w:proofErr w:type="spellStart"/>
      <w:r w:rsidR="00CB55E0" w:rsidRPr="00CB55E0">
        <w:rPr>
          <w:rFonts w:ascii="Times New Roman" w:hAnsi="Times New Roman" w:cs="Times New Roman"/>
          <w:sz w:val="24"/>
          <w:szCs w:val="24"/>
        </w:rPr>
        <w:t>Yoshioka</w:t>
      </w:r>
      <w:proofErr w:type="spellEnd"/>
      <w:r w:rsidR="00CB55E0" w:rsidRPr="00CB55E0">
        <w:rPr>
          <w:rFonts w:ascii="Times New Roman" w:hAnsi="Times New Roman" w:cs="Times New Roman"/>
          <w:sz w:val="24"/>
          <w:szCs w:val="24"/>
        </w:rPr>
        <w:t xml:space="preserve">-Vargas et al. (2025), que identifica calcio, vitamina C y zinc como los tres nutrientes limitantes más frecuentes --- exactamente los mismos que este estudio documenta como universalmente vinculantes en las tres ciudades. La leche pasteurizada provee entre el 64% y el 85% del calcio total del </w:t>
      </w:r>
      <w:proofErr w:type="spellStart"/>
      <w:r w:rsidR="00CB55E0" w:rsidRPr="00CB55E0">
        <w:rPr>
          <w:rFonts w:ascii="Times New Roman" w:hAnsi="Times New Roman" w:cs="Times New Roman"/>
          <w:sz w:val="24"/>
          <w:szCs w:val="24"/>
        </w:rPr>
        <w:t>CoNA</w:t>
      </w:r>
      <w:proofErr w:type="spellEnd"/>
      <w:r w:rsidR="00CB55E0" w:rsidRPr="00CB55E0">
        <w:rPr>
          <w:rFonts w:ascii="Times New Roman" w:hAnsi="Times New Roman" w:cs="Times New Roman"/>
          <w:sz w:val="24"/>
          <w:szCs w:val="24"/>
        </w:rPr>
        <w:t xml:space="preserve"> óptimo y entre el 97% y el 99% de la vitamina B12, concentrando además entre el 35,1% y el 40,6% del costo total del </w:t>
      </w:r>
      <w:proofErr w:type="spellStart"/>
      <w:r w:rsidR="00CB55E0" w:rsidRPr="00CB55E0">
        <w:rPr>
          <w:rFonts w:ascii="Times New Roman" w:hAnsi="Times New Roman" w:cs="Times New Roman"/>
          <w:sz w:val="24"/>
          <w:szCs w:val="24"/>
        </w:rPr>
        <w:t>CoNA</w:t>
      </w:r>
      <w:proofErr w:type="spellEnd"/>
      <w:r w:rsidR="00CB55E0" w:rsidRPr="00CB55E0">
        <w:rPr>
          <w:rFonts w:ascii="Times New Roman" w:hAnsi="Times New Roman" w:cs="Times New Roman"/>
          <w:sz w:val="24"/>
          <w:szCs w:val="24"/>
        </w:rPr>
        <w:t xml:space="preserve"> (véase </w:t>
      </w:r>
      <w:proofErr w:type="spellStart"/>
      <w:r w:rsidR="00CB55E0" w:rsidRPr="00CB55E0">
        <w:rPr>
          <w:rFonts w:ascii="Times New Roman" w:hAnsi="Times New Roman" w:cs="Times New Roman"/>
          <w:sz w:val="24"/>
          <w:szCs w:val="24"/>
        </w:rPr>
        <w:t>Apéndice~X</w:t>
      </w:r>
      <w:proofErr w:type="spellEnd"/>
      <w:r w:rsidR="00CB55E0" w:rsidRPr="00CB55E0">
        <w:rPr>
          <w:rFonts w:ascii="Times New Roman" w:hAnsi="Times New Roman" w:cs="Times New Roman"/>
          <w:sz w:val="24"/>
          <w:szCs w:val="24"/>
        </w:rPr>
        <w:t>). Esta concentración, tanto nutricional como económica, en un único alimento expone el costo de la adecuación nutricional al precio relativo de la leche pasteurizada --- una vulnerabilidad documentada en otros países de ingreso medio donde los lácteos son caros pero no subsidiados (</w:t>
      </w:r>
      <w:proofErr w:type="spellStart"/>
      <w:r w:rsidR="00CB55E0" w:rsidRPr="00CB55E0">
        <w:rPr>
          <w:rFonts w:ascii="Times New Roman" w:hAnsi="Times New Roman" w:cs="Times New Roman"/>
          <w:sz w:val="24"/>
          <w:szCs w:val="24"/>
        </w:rPr>
        <w:t>Passarelli</w:t>
      </w:r>
      <w:proofErr w:type="spellEnd"/>
      <w:r w:rsidR="00CB55E0" w:rsidRPr="00CB55E0">
        <w:rPr>
          <w:rFonts w:ascii="Times New Roman" w:hAnsi="Times New Roman" w:cs="Times New Roman"/>
          <w:sz w:val="24"/>
          <w:szCs w:val="24"/>
        </w:rPr>
        <w:t xml:space="preserve"> et al., 2024; Bai et al., 2022b) ---, lo que sugiere que las intervenciones más costo-efectivas son aquellas que actúan directamente sobre ese alimento, en lugar de intervenciones </w:t>
      </w:r>
      <w:proofErr w:type="spellStart"/>
      <w:r w:rsidR="00CB55E0" w:rsidRPr="00CB55E0">
        <w:rPr>
          <w:rFonts w:ascii="Times New Roman" w:hAnsi="Times New Roman" w:cs="Times New Roman"/>
          <w:sz w:val="24"/>
          <w:szCs w:val="24"/>
        </w:rPr>
        <w:t>dietarias</w:t>
      </w:r>
      <w:proofErr w:type="spellEnd"/>
      <w:r w:rsidR="00CB55E0" w:rsidRPr="00CB55E0">
        <w:rPr>
          <w:rFonts w:ascii="Times New Roman" w:hAnsi="Times New Roman" w:cs="Times New Roman"/>
          <w:sz w:val="24"/>
          <w:szCs w:val="24"/>
        </w:rPr>
        <w:t xml:space="preserve"> generales (</w:t>
      </w:r>
      <w:proofErr w:type="spellStart"/>
      <w:r w:rsidR="00CB55E0" w:rsidRPr="00CB55E0">
        <w:rPr>
          <w:rFonts w:ascii="Times New Roman" w:hAnsi="Times New Roman" w:cs="Times New Roman"/>
          <w:sz w:val="24"/>
          <w:szCs w:val="24"/>
        </w:rPr>
        <w:t>Frega</w:t>
      </w:r>
      <w:proofErr w:type="spellEnd"/>
      <w:r w:rsidR="00CB55E0" w:rsidRPr="00CB55E0">
        <w:rPr>
          <w:rFonts w:ascii="Times New Roman" w:hAnsi="Times New Roman" w:cs="Times New Roman"/>
          <w:sz w:val="24"/>
          <w:szCs w:val="24"/>
        </w:rPr>
        <w:t xml:space="preserve"> et al., 2012; Schneider, 2022). Las diferencias </w:t>
      </w:r>
      <w:proofErr w:type="spellStart"/>
      <w:r w:rsidR="00CB55E0" w:rsidRPr="00CB55E0">
        <w:rPr>
          <w:rFonts w:ascii="Times New Roman" w:hAnsi="Times New Roman" w:cs="Times New Roman"/>
          <w:sz w:val="24"/>
          <w:szCs w:val="24"/>
        </w:rPr>
        <w:t>intercidades</w:t>
      </w:r>
      <w:proofErr w:type="spellEnd"/>
      <w:r w:rsidR="00CB55E0" w:rsidRPr="00CB55E0">
        <w:rPr>
          <w:rFonts w:ascii="Times New Roman" w:hAnsi="Times New Roman" w:cs="Times New Roman"/>
          <w:sz w:val="24"/>
          <w:szCs w:val="24"/>
        </w:rPr>
        <w:t xml:space="preserve"> en el SPE del calcio son consistentes con las diferencias en la inflación de la leche entre mercados: en 2022--2023, Cali registró la inflación de leche más alta entre las tres ciudades (26,7% y 20,5% respectivamente), seguida de Medellín (25,3% y 19,2%) y Bogotá (24,4% y 17,3%), y en 2024 la desinflación de leche fue más contenida en Cali (4,8%) que en Bogotá (2,5%), lo que es consistente con el hecho de que el SPE del calcio siga siendo más elevado en esa ciudad. La tendencia creciente del SPE del calcio a lo largo del período --- de 0,304--0,498 en 2019 a 0,386--0,601 en 2024 según ciudad y miembro --- indica que el costo marginal de satisfacer los requerimientos de calcio está aumentando, agravando esta vulnerabilidad en un contexto de encarecimiento real sostenido de los lácteos (FAO, 2023; [AÑADIR CITA específica para Colombia o LAC]).</w:t>
      </w:r>
    </w:p>
    <w:p w:rsidR="00456CBB" w:rsidRDefault="00CB55E0">
      <w:pPr>
        <w:rPr>
          <w:rFonts w:ascii="Times New Roman" w:hAnsi="Times New Roman" w:cs="Times New Roman"/>
          <w:sz w:val="24"/>
          <w:szCs w:val="24"/>
        </w:rPr>
      </w:pPr>
      <w:r w:rsidRPr="00CB55E0">
        <w:rPr>
          <w:rFonts w:ascii="Times New Roman" w:hAnsi="Times New Roman" w:cs="Times New Roman"/>
          <w:sz w:val="24"/>
          <w:szCs w:val="24"/>
        </w:rPr>
        <w:t xml:space="preserve">El perfil de restricciones varía entre miembros del hogar de manera que refleja diferencias en los requerimientos nutricionales: el calcio es más costoso para la niña de 10--14 años (SPE: 0,486--0,523), cuyas necesidades durante el crecimiento son las más altas del ciclo de vida; en contraste, para el hombre adulto el zinc supera al calcio como restricción más costosa en Bogotá y Medellín (SPE medio: 0,564 y 0,486), lo cual coincide con evidencia global que muestra que el zinc tiende a ser una restricción comparativamente más relevante en hombres adultos (Bai et al., 2022b). Las diferencias </w:t>
      </w:r>
      <w:proofErr w:type="spellStart"/>
      <w:r w:rsidRPr="00CB55E0">
        <w:rPr>
          <w:rFonts w:ascii="Times New Roman" w:hAnsi="Times New Roman" w:cs="Times New Roman"/>
          <w:sz w:val="24"/>
          <w:szCs w:val="24"/>
        </w:rPr>
        <w:t>intercidades</w:t>
      </w:r>
      <w:proofErr w:type="spellEnd"/>
      <w:r w:rsidRPr="00CB55E0">
        <w:rPr>
          <w:rFonts w:ascii="Times New Roman" w:hAnsi="Times New Roman" w:cs="Times New Roman"/>
          <w:sz w:val="24"/>
          <w:szCs w:val="24"/>
        </w:rPr>
        <w:t xml:space="preserve"> en el SPE del zinc para el hombre adulto también son explicables por la inflación diferenciada de las legumbres secas entre mercados: en 2022, Cali registró una inflación de legumbres del 32,0%, frente al 22,2% de Bogotá y el 27,3% de Medellín, lo que se tradujo en una mayor presión sobre el costo de satisfacer la restricción de zinc en ese año. </w:t>
      </w:r>
      <w:r w:rsidR="008A4CC2" w:rsidRPr="008A4CC2">
        <w:rPr>
          <w:rFonts w:ascii="Times New Roman" w:hAnsi="Times New Roman" w:cs="Times New Roman"/>
          <w:sz w:val="24"/>
          <w:szCs w:val="24"/>
        </w:rPr>
        <w:t xml:space="preserve">A diferencia de la relativa estabilidad temporal del SPE del calcio, el zinc muestra alta variabilidad, oscilando entre 0,010 y 0,718 para el hombre adulto a lo largo del período según ciudad, reflejo directo de la mayor volatilidad de precios de las legumbres secas respecto a los lácteos: la desviación estándar de la variación interanual del IPC de legumbres secas (19,9--23,2 según ciudad) casi duplica la de la leche (12,0--13,4), con un rango de variación de entre --22,5% y 64,9% frente a --2,8% y 41,4% </w:t>
      </w:r>
      <w:proofErr w:type="spellStart"/>
      <w:r w:rsidR="008A4CC2" w:rsidRPr="008A4CC2">
        <w:rPr>
          <w:rFonts w:ascii="Times New Roman" w:hAnsi="Times New Roman" w:cs="Times New Roman"/>
          <w:sz w:val="24"/>
          <w:szCs w:val="24"/>
        </w:rPr>
        <w:t>respectivamente.</w:t>
      </w:r>
      <w:r w:rsidR="008A4CC2">
        <w:rPr>
          <w:rFonts w:ascii="Times New Roman" w:hAnsi="Times New Roman" w:cs="Times New Roman"/>
          <w:sz w:val="24"/>
          <w:szCs w:val="24"/>
        </w:rPr>
        <w:t xml:space="preserve"> </w:t>
      </w:r>
      <w:r w:rsidRPr="00CB55E0">
        <w:rPr>
          <w:rFonts w:ascii="Times New Roman" w:hAnsi="Times New Roman" w:cs="Times New Roman"/>
          <w:sz w:val="24"/>
          <w:szCs w:val="24"/>
        </w:rPr>
        <w:t>L</w:t>
      </w:r>
      <w:proofErr w:type="spellEnd"/>
      <w:r w:rsidRPr="00CB55E0">
        <w:rPr>
          <w:rFonts w:ascii="Times New Roman" w:hAnsi="Times New Roman" w:cs="Times New Roman"/>
          <w:sz w:val="24"/>
          <w:szCs w:val="24"/>
        </w:rPr>
        <w:t>a heterogeneidad en los perfiles de restricción entre miembros del hogar implica que el costo de la adecuación nutricional no puede ignorar la dimensión demográfica, pues la restricción vinculante varía según el miembro, y las políticas que operan sobre el promedio del hogar pueden ser ineficientes para los grupos más vulnerables (Bai et al., 2022a; Masters et al., 2018).</w:t>
      </w:r>
    </w:p>
    <w:p w:rsidR="008A4CC2" w:rsidRDefault="008A4CC2" w:rsidP="00DE5917">
      <w:pPr>
        <w:jc w:val="both"/>
        <w:rPr>
          <w:rFonts w:ascii="Times New Roman" w:hAnsi="Times New Roman" w:cs="Times New Roman"/>
          <w:sz w:val="24"/>
          <w:szCs w:val="24"/>
        </w:rPr>
      </w:pPr>
      <w:r w:rsidRPr="008A4CC2">
        <w:rPr>
          <w:rFonts w:ascii="Times New Roman" w:hAnsi="Times New Roman" w:cs="Times New Roman"/>
          <w:sz w:val="24"/>
          <w:szCs w:val="24"/>
        </w:rPr>
        <w:lastRenderedPageBreak/>
        <w:t xml:space="preserve">Un hallazgo análogo emerge del análisis del </w:t>
      </w:r>
      <w:proofErr w:type="spellStart"/>
      <w:r w:rsidRPr="008A4CC2">
        <w:rPr>
          <w:rFonts w:ascii="Times New Roman" w:hAnsi="Times New Roman" w:cs="Times New Roman"/>
          <w:sz w:val="24"/>
          <w:szCs w:val="24"/>
        </w:rPr>
        <w:t>CoRD</w:t>
      </w:r>
      <w:proofErr w:type="spellEnd"/>
      <w:r w:rsidRPr="008A4CC2">
        <w:rPr>
          <w:rFonts w:ascii="Times New Roman" w:hAnsi="Times New Roman" w:cs="Times New Roman"/>
          <w:sz w:val="24"/>
          <w:szCs w:val="24"/>
        </w:rPr>
        <w:t xml:space="preserve">. A diferencia del </w:t>
      </w:r>
      <w:proofErr w:type="spellStart"/>
      <w:r w:rsidRPr="008A4CC2">
        <w:rPr>
          <w:rFonts w:ascii="Times New Roman" w:hAnsi="Times New Roman" w:cs="Times New Roman"/>
          <w:sz w:val="24"/>
          <w:szCs w:val="24"/>
        </w:rPr>
        <w:t>CoNA</w:t>
      </w:r>
      <w:proofErr w:type="spellEnd"/>
      <w:r w:rsidRPr="008A4CC2">
        <w:rPr>
          <w:rFonts w:ascii="Times New Roman" w:hAnsi="Times New Roman" w:cs="Times New Roman"/>
          <w:sz w:val="24"/>
          <w:szCs w:val="24"/>
        </w:rPr>
        <w:t xml:space="preserve">, cuya composición varía entre ciudades en función de los precios relativos locales, la estructura de porciones del </w:t>
      </w:r>
      <w:proofErr w:type="spellStart"/>
      <w:r w:rsidRPr="008A4CC2">
        <w:rPr>
          <w:rFonts w:ascii="Times New Roman" w:hAnsi="Times New Roman" w:cs="Times New Roman"/>
          <w:sz w:val="24"/>
          <w:szCs w:val="24"/>
        </w:rPr>
        <w:t>CoRD</w:t>
      </w:r>
      <w:proofErr w:type="spellEnd"/>
      <w:r w:rsidRPr="008A4CC2">
        <w:rPr>
          <w:rFonts w:ascii="Times New Roman" w:hAnsi="Times New Roman" w:cs="Times New Roman"/>
          <w:sz w:val="24"/>
          <w:szCs w:val="24"/>
        </w:rPr>
        <w:t xml:space="preserve"> es prácticamente idéntica en las tres ciudades --- una consecuencia directa de que las GABA fijan las cantidades recomendadas por grupo alimentario independientemente del contexto local. Esto implica que las diferencias de costo del </w:t>
      </w:r>
      <w:proofErr w:type="spellStart"/>
      <w:r w:rsidRPr="008A4CC2">
        <w:rPr>
          <w:rFonts w:ascii="Times New Roman" w:hAnsi="Times New Roman" w:cs="Times New Roman"/>
          <w:sz w:val="24"/>
          <w:szCs w:val="24"/>
        </w:rPr>
        <w:t>CoRD</w:t>
      </w:r>
      <w:proofErr w:type="spellEnd"/>
      <w:r w:rsidRPr="008A4CC2">
        <w:rPr>
          <w:rFonts w:ascii="Times New Roman" w:hAnsi="Times New Roman" w:cs="Times New Roman"/>
          <w:sz w:val="24"/>
          <w:szCs w:val="24"/>
        </w:rPr>
        <w:t xml:space="preserve"> entre ciudades reflejan exclusivamente diferencias en los precios locales de los alimentos seleccionados dentro de cada grupo, no diferencias en la estructura </w:t>
      </w:r>
      <w:proofErr w:type="spellStart"/>
      <w:r w:rsidRPr="008A4CC2">
        <w:rPr>
          <w:rFonts w:ascii="Times New Roman" w:hAnsi="Times New Roman" w:cs="Times New Roman"/>
          <w:sz w:val="24"/>
          <w:szCs w:val="24"/>
        </w:rPr>
        <w:t>dietaria</w:t>
      </w:r>
      <w:proofErr w:type="spellEnd"/>
      <w:r w:rsidRPr="008A4CC2">
        <w:rPr>
          <w:rFonts w:ascii="Times New Roman" w:hAnsi="Times New Roman" w:cs="Times New Roman"/>
          <w:sz w:val="24"/>
          <w:szCs w:val="24"/>
        </w:rPr>
        <w:t xml:space="preserve">. </w:t>
      </w:r>
      <w:r w:rsidR="00DE5917" w:rsidRPr="00DE5917">
        <w:rPr>
          <w:rFonts w:ascii="Times New Roman" w:hAnsi="Times New Roman" w:cs="Times New Roman"/>
          <w:sz w:val="24"/>
          <w:szCs w:val="24"/>
        </w:rPr>
        <w:t xml:space="preserve">Las diferencias en el grupo de frutas ilustran este mecanismo con claridad: Bogotá selecciona guayaba como fuente primaria de vitamina C (COP 500/100g real), porque en ese mercado resulta más barata que las moras (COP 687) y comparable a las naranjas (COP 374), mientras que en Cali y Medellín la guayaba (COP 547 y COP 521 respectivamente) es sustituida por naranjas (COP 233 en Cali y COP 305 en Medellín), cuyo precio relativo por unidad de vitamina C es considerablemente más bajo. Este resultado es consistente con lo documentado por </w:t>
      </w:r>
      <w:proofErr w:type="spellStart"/>
      <w:r w:rsidR="00DE5917" w:rsidRPr="00DE5917">
        <w:rPr>
          <w:rFonts w:ascii="Times New Roman" w:hAnsi="Times New Roman" w:cs="Times New Roman"/>
          <w:sz w:val="24"/>
          <w:szCs w:val="24"/>
        </w:rPr>
        <w:t>Yoshioka</w:t>
      </w:r>
      <w:proofErr w:type="spellEnd"/>
      <w:r w:rsidR="00DE5917" w:rsidRPr="00DE5917">
        <w:rPr>
          <w:rFonts w:ascii="Times New Roman" w:hAnsi="Times New Roman" w:cs="Times New Roman"/>
          <w:sz w:val="24"/>
          <w:szCs w:val="24"/>
        </w:rPr>
        <w:t xml:space="preserve">-Vargas et al. (2025) sobre la selección de fuentes de vitamina C según precio relativo en dietas de costo mínimo. En leguminosas, Bogotá selecciona garbanzo junto a arveja seca porque el garbanzo (COP 421/100g) es más barato que las lentejas (COP 462) en ese mercado, mientras que en Cali y Medellín las lentejas (COP 396 y COP 487 respectivamente) resultan más accesibles que el garbanzo, que no aparece disponible en esos mercados. En verduras y lácteos, Cali es la más diversa: es la única ciudad que incorpora cuatro verduras (arveja verde, cebolla, repollo y zanahoria) y que añade queso junto a la leche pasteurizada en el grupo de lácteos. La asimetría entre porciones y peso económico es pronunciada en todas las ciudades: los lácteos, con apenas 4,16--4,31 porciones diarias, concentran entre el 64,9% y el 66,2% del costo total del </w:t>
      </w:r>
      <w:proofErr w:type="spellStart"/>
      <w:r w:rsidR="00DE5917" w:rsidRPr="00DE5917">
        <w:rPr>
          <w:rFonts w:ascii="Times New Roman" w:hAnsi="Times New Roman" w:cs="Times New Roman"/>
          <w:sz w:val="24"/>
          <w:szCs w:val="24"/>
        </w:rPr>
        <w:t>CoRD</w:t>
      </w:r>
      <w:proofErr w:type="spellEnd"/>
      <w:r w:rsidR="00DE5917" w:rsidRPr="00DE5917">
        <w:rPr>
          <w:rFonts w:ascii="Times New Roman" w:hAnsi="Times New Roman" w:cs="Times New Roman"/>
          <w:sz w:val="24"/>
          <w:szCs w:val="24"/>
        </w:rPr>
        <w:t xml:space="preserve">, mientras que las grasas --- el grupo con mayor volumen de porciones (4,51--4,67) --- representan apenas el 3,8%--4,8% del costo total, confirmando que el costo de las dietas basadas en guías alimentarias está dominado por los alimentos de mayor densidad de micronutrientes de difícil obtención, independientemente de su volumen de porciones (Masters et al., 2018). Desde el punto de vista nutricional, entre el 74,1% y el 90,2% de las combinaciones nutriente--miembro--mes se sitúan dentro del rango de ingesta seguro a lo largo del período, con la vitamina C como único nutriente con incumplimiento sistemático del mínimo en las tres ciudades, particularmente en Medellín --- resultado coherente con la sustitución de guayaba por frutas de menor densidad de vitamina C en ese mercado (véase </w:t>
      </w:r>
      <w:proofErr w:type="spellStart"/>
      <w:r w:rsidR="00DE5917" w:rsidRPr="00DE5917">
        <w:rPr>
          <w:rFonts w:ascii="Times New Roman" w:hAnsi="Times New Roman" w:cs="Times New Roman"/>
          <w:sz w:val="24"/>
          <w:szCs w:val="24"/>
        </w:rPr>
        <w:t>Apéndice~C</w:t>
      </w:r>
      <w:proofErr w:type="spellEnd"/>
      <w:r w:rsidR="00DE5917" w:rsidRPr="00DE5917">
        <w:rPr>
          <w:rFonts w:ascii="Times New Roman" w:hAnsi="Times New Roman" w:cs="Times New Roman"/>
          <w:sz w:val="24"/>
          <w:szCs w:val="24"/>
        </w:rPr>
        <w:t>).</w:t>
      </w:r>
    </w:p>
    <w:p w:rsidR="00DE5917" w:rsidRPr="00DE5917" w:rsidRDefault="00DE5917">
      <w:pPr>
        <w:rPr>
          <w:rFonts w:ascii="Times New Roman" w:hAnsi="Times New Roman" w:cs="Times New Roman"/>
          <w:sz w:val="24"/>
          <w:szCs w:val="24"/>
        </w:rPr>
      </w:pPr>
    </w:p>
    <w:p w:rsidR="0092232F" w:rsidRPr="008A4CC2" w:rsidRDefault="00AD7C92">
      <w:pPr>
        <w:rPr>
          <w:rFonts w:ascii="Times New Roman" w:hAnsi="Times New Roman" w:cs="Times New Roman"/>
          <w:b/>
          <w:sz w:val="24"/>
          <w:szCs w:val="24"/>
          <w:highlight w:val="yellow"/>
          <w:lang w:val="es-MX"/>
        </w:rPr>
      </w:pPr>
      <w:r w:rsidRPr="008A4CC2">
        <w:rPr>
          <w:rFonts w:ascii="Times New Roman" w:hAnsi="Times New Roman" w:cs="Times New Roman"/>
          <w:b/>
          <w:sz w:val="24"/>
          <w:szCs w:val="24"/>
          <w:highlight w:val="yellow"/>
          <w:lang w:val="es-MX"/>
        </w:rPr>
        <w:t>Párrafo</w:t>
      </w:r>
      <w:r w:rsidR="006A7888" w:rsidRPr="008A4CC2">
        <w:rPr>
          <w:rFonts w:ascii="Times New Roman" w:hAnsi="Times New Roman" w:cs="Times New Roman"/>
          <w:b/>
          <w:sz w:val="24"/>
          <w:szCs w:val="24"/>
          <w:highlight w:val="yellow"/>
          <w:lang w:val="es-MX"/>
        </w:rPr>
        <w:t>s 4 y 5</w:t>
      </w:r>
      <w:r w:rsidRPr="008A4CC2">
        <w:rPr>
          <w:rFonts w:ascii="Times New Roman" w:hAnsi="Times New Roman" w:cs="Times New Roman"/>
          <w:b/>
          <w:sz w:val="24"/>
          <w:szCs w:val="24"/>
          <w:highlight w:val="yellow"/>
          <w:lang w:val="es-MX"/>
        </w:rPr>
        <w:t>: problema de asequibilidad y el caso de Cali</w:t>
      </w:r>
    </w:p>
    <w:p w:rsidR="0092232F" w:rsidRPr="008A4CC2" w:rsidRDefault="0092232F">
      <w:pPr>
        <w:rPr>
          <w:rFonts w:ascii="Times New Roman" w:hAnsi="Times New Roman" w:cs="Times New Roman"/>
          <w:sz w:val="24"/>
          <w:szCs w:val="24"/>
          <w:highlight w:val="yellow"/>
          <w:lang w:val="en-US"/>
        </w:rPr>
      </w:pPr>
      <w:r w:rsidRPr="008A4CC2">
        <w:rPr>
          <w:rFonts w:ascii="Times New Roman" w:hAnsi="Times New Roman" w:cs="Times New Roman"/>
          <w:sz w:val="24"/>
          <w:szCs w:val="24"/>
          <w:highlight w:val="yellow"/>
          <w:lang w:val="en-US"/>
        </w:rPr>
        <w:t>Our primary finding is that…</w:t>
      </w:r>
    </w:p>
    <w:p w:rsidR="00AD7C92" w:rsidRPr="008A4CC2" w:rsidRDefault="00AD7C92">
      <w:pPr>
        <w:rPr>
          <w:rFonts w:ascii="Times New Roman" w:hAnsi="Times New Roman" w:cs="Times New Roman"/>
          <w:b/>
          <w:sz w:val="24"/>
          <w:szCs w:val="24"/>
          <w:highlight w:val="yellow"/>
          <w:lang w:val="es-MX"/>
        </w:rPr>
      </w:pPr>
      <w:r w:rsidRPr="008A4CC2">
        <w:rPr>
          <w:rFonts w:ascii="Times New Roman" w:hAnsi="Times New Roman" w:cs="Times New Roman"/>
          <w:b/>
          <w:sz w:val="24"/>
          <w:szCs w:val="24"/>
          <w:highlight w:val="yellow"/>
          <w:lang w:val="es-MX"/>
        </w:rPr>
        <w:t xml:space="preserve">Párrafo </w:t>
      </w:r>
      <w:r w:rsidR="006A7888" w:rsidRPr="008A4CC2">
        <w:rPr>
          <w:rFonts w:ascii="Times New Roman" w:hAnsi="Times New Roman" w:cs="Times New Roman"/>
          <w:b/>
          <w:sz w:val="24"/>
          <w:szCs w:val="24"/>
          <w:highlight w:val="yellow"/>
          <w:lang w:val="es-MX"/>
        </w:rPr>
        <w:t>6</w:t>
      </w:r>
      <w:r w:rsidRPr="008A4CC2">
        <w:rPr>
          <w:rFonts w:ascii="Times New Roman" w:hAnsi="Times New Roman" w:cs="Times New Roman"/>
          <w:b/>
          <w:sz w:val="24"/>
          <w:szCs w:val="24"/>
          <w:highlight w:val="yellow"/>
          <w:lang w:val="es-MX"/>
        </w:rPr>
        <w:t>: falta absoluta de ingresos y comparación con indicadores de pobreza</w:t>
      </w:r>
    </w:p>
    <w:p w:rsidR="00CB55E0" w:rsidRDefault="00AD7C92">
      <w:pPr>
        <w:rPr>
          <w:rFonts w:ascii="Times New Roman" w:hAnsi="Times New Roman" w:cs="Times New Roman"/>
          <w:b/>
          <w:sz w:val="24"/>
          <w:szCs w:val="24"/>
          <w:lang w:val="es-MX"/>
        </w:rPr>
      </w:pPr>
      <w:r w:rsidRPr="008A4CC2">
        <w:rPr>
          <w:rFonts w:ascii="Times New Roman" w:hAnsi="Times New Roman" w:cs="Times New Roman"/>
          <w:b/>
          <w:sz w:val="24"/>
          <w:szCs w:val="24"/>
          <w:highlight w:val="yellow"/>
          <w:lang w:val="es-MX"/>
        </w:rPr>
        <w:t xml:space="preserve">Párrafo </w:t>
      </w:r>
      <w:r w:rsidR="006A7888" w:rsidRPr="008A4CC2">
        <w:rPr>
          <w:rFonts w:ascii="Times New Roman" w:hAnsi="Times New Roman" w:cs="Times New Roman"/>
          <w:b/>
          <w:sz w:val="24"/>
          <w:szCs w:val="24"/>
          <w:highlight w:val="yellow"/>
          <w:lang w:val="es-MX"/>
        </w:rPr>
        <w:t>7</w:t>
      </w:r>
      <w:r w:rsidRPr="008A4CC2">
        <w:rPr>
          <w:rFonts w:ascii="Times New Roman" w:hAnsi="Times New Roman" w:cs="Times New Roman"/>
          <w:b/>
          <w:sz w:val="24"/>
          <w:szCs w:val="24"/>
          <w:highlight w:val="yellow"/>
          <w:lang w:val="es-MX"/>
        </w:rPr>
        <w:t>: ¿Qué nos permite ver el CC-</w:t>
      </w:r>
      <w:proofErr w:type="spellStart"/>
      <w:r w:rsidRPr="008A4CC2">
        <w:rPr>
          <w:rFonts w:ascii="Times New Roman" w:hAnsi="Times New Roman" w:cs="Times New Roman"/>
          <w:b/>
          <w:sz w:val="24"/>
          <w:szCs w:val="24"/>
          <w:highlight w:val="yellow"/>
          <w:lang w:val="es-MX"/>
        </w:rPr>
        <w:t>CoNA</w:t>
      </w:r>
      <w:proofErr w:type="spellEnd"/>
      <w:r w:rsidRPr="008A4CC2">
        <w:rPr>
          <w:rFonts w:ascii="Times New Roman" w:hAnsi="Times New Roman" w:cs="Times New Roman"/>
          <w:b/>
          <w:sz w:val="24"/>
          <w:szCs w:val="24"/>
          <w:highlight w:val="yellow"/>
          <w:lang w:val="es-MX"/>
        </w:rPr>
        <w:t>?</w:t>
      </w:r>
      <w:bookmarkStart w:id="0" w:name="_GoBack"/>
      <w:bookmarkEnd w:id="0"/>
    </w:p>
    <w:p w:rsidR="006A7888" w:rsidRPr="00AD7C92" w:rsidRDefault="006A7888">
      <w:pPr>
        <w:rPr>
          <w:rFonts w:ascii="Times New Roman" w:hAnsi="Times New Roman" w:cs="Times New Roman"/>
          <w:b/>
          <w:sz w:val="24"/>
          <w:szCs w:val="24"/>
          <w:lang w:val="es-MX"/>
        </w:rPr>
      </w:pPr>
      <w:r w:rsidRPr="00CB55E0">
        <w:rPr>
          <w:rFonts w:ascii="Times New Roman" w:hAnsi="Times New Roman" w:cs="Times New Roman"/>
          <w:b/>
          <w:sz w:val="24"/>
          <w:szCs w:val="24"/>
          <w:highlight w:val="yellow"/>
          <w:lang w:val="es-MX"/>
        </w:rPr>
        <w:t>Párrafo 8: Limitaciones</w:t>
      </w:r>
    </w:p>
    <w:sectPr w:rsidR="006A7888" w:rsidRPr="00AD7C9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C7B68" w:rsidRDefault="00AC7B68" w:rsidP="008A4CC2">
      <w:pPr>
        <w:spacing w:after="0" w:line="240" w:lineRule="auto"/>
      </w:pPr>
      <w:r>
        <w:separator/>
      </w:r>
    </w:p>
  </w:endnote>
  <w:endnote w:type="continuationSeparator" w:id="0">
    <w:p w:rsidR="00AC7B68" w:rsidRDefault="00AC7B68" w:rsidP="008A4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C7B68" w:rsidRDefault="00AC7B68" w:rsidP="008A4CC2">
      <w:pPr>
        <w:spacing w:after="0" w:line="240" w:lineRule="auto"/>
      </w:pPr>
      <w:r>
        <w:separator/>
      </w:r>
    </w:p>
  </w:footnote>
  <w:footnote w:type="continuationSeparator" w:id="0">
    <w:p w:rsidR="00AC7B68" w:rsidRDefault="00AC7B68" w:rsidP="008A4C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7B7F4C"/>
    <w:multiLevelType w:val="hybridMultilevel"/>
    <w:tmpl w:val="F170E0EC"/>
    <w:lvl w:ilvl="0" w:tplc="A7D41B3A">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17B210D"/>
    <w:multiLevelType w:val="hybridMultilevel"/>
    <w:tmpl w:val="6FFC7308"/>
    <w:lvl w:ilvl="0" w:tplc="6A7A4632">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75B5780E"/>
    <w:multiLevelType w:val="hybridMultilevel"/>
    <w:tmpl w:val="8C786256"/>
    <w:lvl w:ilvl="0" w:tplc="DF401B3E">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C92"/>
    <w:rsid w:val="00000FAF"/>
    <w:rsid w:val="0003676F"/>
    <w:rsid w:val="00075222"/>
    <w:rsid w:val="00076F60"/>
    <w:rsid w:val="000C1AFB"/>
    <w:rsid w:val="001526D4"/>
    <w:rsid w:val="001F546B"/>
    <w:rsid w:val="00273D7A"/>
    <w:rsid w:val="0037058C"/>
    <w:rsid w:val="003B3A43"/>
    <w:rsid w:val="00436E1F"/>
    <w:rsid w:val="00456CBB"/>
    <w:rsid w:val="004C2D67"/>
    <w:rsid w:val="005461FA"/>
    <w:rsid w:val="006A7888"/>
    <w:rsid w:val="00712EF5"/>
    <w:rsid w:val="00807E23"/>
    <w:rsid w:val="008A4CC2"/>
    <w:rsid w:val="0092232F"/>
    <w:rsid w:val="009476C2"/>
    <w:rsid w:val="00985798"/>
    <w:rsid w:val="009D6DAB"/>
    <w:rsid w:val="00A401AD"/>
    <w:rsid w:val="00AC7B68"/>
    <w:rsid w:val="00AD7C92"/>
    <w:rsid w:val="00AE30E5"/>
    <w:rsid w:val="00CB55E0"/>
    <w:rsid w:val="00CC66DD"/>
    <w:rsid w:val="00DA53B3"/>
    <w:rsid w:val="00DE5917"/>
    <w:rsid w:val="00DF3828"/>
    <w:rsid w:val="00E15974"/>
    <w:rsid w:val="00F25623"/>
    <w:rsid w:val="00FF5E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BFD0"/>
  <w15:chartTrackingRefBased/>
  <w15:docId w15:val="{E218CEE7-C287-44E0-ABA2-BEC82B990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D7C92"/>
    <w:pPr>
      <w:ind w:left="720"/>
      <w:contextualSpacing/>
    </w:pPr>
  </w:style>
  <w:style w:type="paragraph" w:styleId="NormalWeb">
    <w:name w:val="Normal (Web)"/>
    <w:basedOn w:val="Normal"/>
    <w:uiPriority w:val="99"/>
    <w:semiHidden/>
    <w:unhideWhenUsed/>
    <w:rsid w:val="004C2D6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8A4C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A4CC2"/>
  </w:style>
  <w:style w:type="paragraph" w:styleId="Piedepgina">
    <w:name w:val="footer"/>
    <w:basedOn w:val="Normal"/>
    <w:link w:val="PiedepginaCar"/>
    <w:uiPriority w:val="99"/>
    <w:unhideWhenUsed/>
    <w:rsid w:val="008A4C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A4C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6676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3830</Words>
  <Characters>21071</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Javeriana Cali</Company>
  <LinksUpToDate>false</LinksUpToDate>
  <CharactersWithSpaces>24852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Alejandro Barona Montoya</dc:creator>
  <cp:keywords/>
  <dc:description/>
  <cp:lastModifiedBy>Sergio Alejandro Barona Montoya</cp:lastModifiedBy>
  <cp:revision>2</cp:revision>
  <dcterms:created xsi:type="dcterms:W3CDTF">2026-07-15T12:17:00Z</dcterms:created>
  <dcterms:modified xsi:type="dcterms:W3CDTF">2026-07-15T12:17:00Z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aae3f48a-d0a5-494a-a753-11be41f69882</vt:lpwstr>
  </property>
</Properties>
</file>