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4D8F" w:rsidRPr="00854D8F" w:rsidRDefault="00854D8F" w:rsidP="00854D8F">
      <w:pPr>
        <w:rPr>
          <w:b/>
          <w:lang w:val="en-US"/>
        </w:rPr>
      </w:pPr>
      <w:bookmarkStart w:id="0" w:name="_GoBack"/>
      <w:r w:rsidRPr="00854D8F">
        <w:rPr>
          <w:b/>
          <w:lang w:val="en-US"/>
        </w:rPr>
        <w:t>Limitations</w:t>
      </w:r>
    </w:p>
    <w:bookmarkEnd w:id="0"/>
    <w:p w:rsidR="00854D8F" w:rsidRPr="00854D8F" w:rsidRDefault="00854D8F" w:rsidP="00854D8F">
      <w:pPr>
        <w:rPr>
          <w:lang w:val="en-US"/>
        </w:rPr>
      </w:pPr>
      <w:r w:rsidRPr="00854D8F">
        <w:rPr>
          <w:lang w:val="en-US"/>
        </w:rPr>
        <w:t>This study has several limitations that should be considered when interpreting the results and designing policy interventions. First, the representative household approach, while standard in the literature, assumes a specific demographic composition (an adult couple and a 9–13-year-old girl). This typology may not fully capture the distinct vulnerabilities of increasingly common household structures, such as female-headed single-parent households, unipersonal households, or those including older adults, whose economies of scale, labor market participation, and nutritional requirements differ significantly. Future research should incorporate sensitivity analyses across diverse household typologies to provide a more granular view of intra-urban inequality.</w:t>
      </w:r>
    </w:p>
    <w:p w:rsidR="00854D8F" w:rsidRPr="00854D8F" w:rsidRDefault="00854D8F" w:rsidP="00854D8F">
      <w:pPr>
        <w:rPr>
          <w:lang w:val="en-US"/>
        </w:rPr>
      </w:pPr>
      <w:r w:rsidRPr="00854D8F">
        <w:rPr>
          <w:lang w:val="en-US"/>
        </w:rPr>
        <w:t>Second, the affordability analysis relies on a fixed food expenditure share by income decile. While our robustness check—assuming households allocate 100% of their income to food—confirms that the unaffordability of the poorest decile reflects an absolute income constraint, a fixed expenditure share may not fully capture intra-temporal coping strategies during severe inflationary shocks. In reality, during periods like the 2022–2023 inflationary episode, the poorest households often temporarily increase their food budget share or compromise on dietary quality (e.g., substituting nutrient-dense foods for cheaper, energy-dense staples). Incorporating dynamic expenditure shares or modeling quality-adjusted demand would further refine these affordability estimates.</w:t>
      </w:r>
    </w:p>
    <w:p w:rsidR="00854D8F" w:rsidRPr="00854D8F" w:rsidRDefault="00854D8F" w:rsidP="00854D8F">
      <w:pPr>
        <w:rPr>
          <w:lang w:val="en-US"/>
        </w:rPr>
      </w:pPr>
      <w:r w:rsidRPr="00854D8F">
        <w:rPr>
          <w:lang w:val="en-US"/>
        </w:rPr>
        <w:t xml:space="preserve">Third, the linear programming models, particularly the </w:t>
      </w:r>
      <w:proofErr w:type="spellStart"/>
      <w:r w:rsidRPr="00854D8F">
        <w:rPr>
          <w:lang w:val="en-US"/>
        </w:rPr>
        <w:t>CoNA</w:t>
      </w:r>
      <w:proofErr w:type="spellEnd"/>
      <w:r w:rsidRPr="00854D8F">
        <w:rPr>
          <w:lang w:val="en-US"/>
        </w:rPr>
        <w:t>, exhibit a heavy mathematical reliance on a single food item—pasteurized milk—to satisfy calcium and vitamin B12 constraints. While this identifies the marginal cost driver in the market, it raises questions about real-world feasibility given the prevalence of lactose intolerance and varying cultural consumption patterns in Colombia. Future modeling should relax this constraint by incorporating alternative, culturally acceptable, and potentially cheaper calcium sources (e.g., small fish with edible bones, fortified plant-based alternatives, or specific dark leafy greens) to test the model's sensitivity and provide more realistic dietary baskets.</w:t>
      </w:r>
    </w:p>
    <w:p w:rsidR="00854D8F" w:rsidRPr="00854D8F" w:rsidRDefault="00854D8F" w:rsidP="00854D8F">
      <w:pPr>
        <w:rPr>
          <w:lang w:val="en-US"/>
        </w:rPr>
      </w:pPr>
      <w:r w:rsidRPr="00854D8F">
        <w:rPr>
          <w:lang w:val="en-US"/>
        </w:rPr>
        <w:t>Finally, the Cultural Acceptability Premium (CC-</w:t>
      </w:r>
      <w:proofErr w:type="spellStart"/>
      <w:r w:rsidRPr="00854D8F">
        <w:rPr>
          <w:lang w:val="en-US"/>
        </w:rPr>
        <w:t>CoNA</w:t>
      </w:r>
      <w:proofErr w:type="spellEnd"/>
      <w:r w:rsidRPr="00854D8F">
        <w:rPr>
          <w:lang w:val="en-US"/>
        </w:rPr>
        <w:t xml:space="preserve">) yielded a surprisingly </w:t>
      </w:r>
      <w:proofErr w:type="gramStart"/>
      <w:r w:rsidRPr="00854D8F">
        <w:rPr>
          <w:lang w:val="en-US"/>
        </w:rPr>
        <w:t>low cost</w:t>
      </w:r>
      <w:proofErr w:type="gramEnd"/>
      <w:r w:rsidRPr="00854D8F">
        <w:rPr>
          <w:lang w:val="en-US"/>
        </w:rPr>
        <w:t xml:space="preserve"> increase (1.71%–2.22% at </w:t>
      </w:r>
      <w:r>
        <w:t>α</w:t>
      </w:r>
      <w:r w:rsidRPr="00854D8F">
        <w:rPr>
          <w:lang w:val="en-US"/>
        </w:rPr>
        <w:t>=1). While this suggests that the baseline CPI food basket already contains a relatively nutritious core, it may also reflect methodological constraints in how CPI expenditure shares map onto the LP food groups. Further refinement of the CC-</w:t>
      </w:r>
      <w:proofErr w:type="spellStart"/>
      <w:r w:rsidRPr="00854D8F">
        <w:rPr>
          <w:lang w:val="en-US"/>
        </w:rPr>
        <w:t>CoNA</w:t>
      </w:r>
      <w:proofErr w:type="spellEnd"/>
      <w:r w:rsidRPr="00854D8F">
        <w:rPr>
          <w:lang w:val="en-US"/>
        </w:rPr>
        <w:t xml:space="preserve"> constraints using direct household microdata from consumption surveys (rather than aggregate CPI shares) is warranted to ensure the metric accurately captures the true cost of cultural preferences and habitual dietary patterns.</w:t>
      </w:r>
    </w:p>
    <w:p w:rsidR="00854D8F" w:rsidRPr="00854D8F" w:rsidRDefault="00854D8F" w:rsidP="00854D8F">
      <w:pPr>
        <w:rPr>
          <w:b/>
          <w:lang w:val="en-US"/>
        </w:rPr>
      </w:pPr>
      <w:r w:rsidRPr="00854D8F">
        <w:rPr>
          <w:b/>
          <w:lang w:val="en-US"/>
        </w:rPr>
        <w:t>Conclusion</w:t>
      </w:r>
    </w:p>
    <w:p w:rsidR="00854D8F" w:rsidRPr="00854D8F" w:rsidRDefault="00854D8F" w:rsidP="00854D8F">
      <w:pPr>
        <w:rPr>
          <w:lang w:val="en-US"/>
        </w:rPr>
      </w:pPr>
      <w:r w:rsidRPr="00854D8F">
        <w:rPr>
          <w:lang w:val="en-US"/>
        </w:rPr>
        <w:t xml:space="preserve">This study provides a comprehensive, longitudinal assessment of the cost and affordability of least-cost diets across Bogotá, Medellín, and Cali from 2019 to 2024, capturing the pre-pandemic baseline, the acute disruptions of 2020, and the severe inflationary episode of 2022–2023. Our findings demonstrate that the steepest economic barrier to dietary quality in these Colombian cities lies not in achieving recommended dietary diversity, but in attaining basic nutritional adequacy. This gap is disproportionately driven by the marginal cost of calcium, highlighting a </w:t>
      </w:r>
      <w:r w:rsidRPr="00854D8F">
        <w:rPr>
          <w:lang w:val="en-US"/>
        </w:rPr>
        <w:lastRenderedPageBreak/>
        <w:t>structural vulnerability in urban food markets where a single food source (pasteurized milk) dictates the affordability of a nutritionally adequate diet.</w:t>
      </w:r>
    </w:p>
    <w:p w:rsidR="004B32DF" w:rsidRPr="00854D8F" w:rsidRDefault="00854D8F" w:rsidP="00854D8F">
      <w:pPr>
        <w:rPr>
          <w:lang w:val="en-US"/>
        </w:rPr>
      </w:pPr>
      <w:r w:rsidRPr="00854D8F">
        <w:rPr>
          <w:lang w:val="en-US"/>
        </w:rPr>
        <w:t>Furthermore, the analysis reveals profound subnational heterogeneity. While Bogotá and Medellín showed signs of post-inflationary recovery in diet affordability, Cali experienced a persistent and structural deterioration. In Cali, the inflationary shocks pushed "near-poor" households (particularly the second income decile) into severe nutritional unaffordability. This underscores that urban food system vulnerabilities—driven by external supply dependencies, high retail market concentration, and elevated labor informality—exacerbate the impacts of macroeconomic shocks on the most vulnerable populations.   From a policy perspective, the results indicate that broad-based income transfers or general food subsidies may be insufficient to close the nutritional gap. Instead, targeted interventions are required. Policymakers should consider specific measures to reduce the cost of limiting nutrients, such as temporary subsidies for dairy products, fortification programs, or incentives for the production and distribution of alternative calcium-rich foods. Additionally, for cities like Cali, structural policies aimed at decentralizing food supply chains, reducing retail market concentration, and strengthening local peri-urban agriculture are essential to build resilience against future price shocks. Ultimately, ensuring economic access to nutritious diets requires aligning social protection programs with the specific nutritional bottlenecks and structural realities of local urban food systems.</w:t>
      </w:r>
    </w:p>
    <w:sectPr w:rsidR="004B32DF" w:rsidRPr="00854D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8F"/>
    <w:rsid w:val="003A352E"/>
    <w:rsid w:val="00854D8F"/>
    <w:rsid w:val="00AC1B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2045B"/>
  <w15:chartTrackingRefBased/>
  <w15:docId w15:val="{6E9D64E3-827D-4346-BE2C-B29EB3893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783</Words>
  <Characters>4310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1</cp:revision>
  <dcterms:created xsi:type="dcterms:W3CDTF">2026-09-14T00:11:00Z</dcterms:created>
  <dcterms:modified xsi:type="dcterms:W3CDTF">2026-09-14T00:12:00Z</dcterms:modified>
</cp:coreProperties>
</file>